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t>定海区农业农村局选择公务船、艇航修定点船厂评分汇总表</w:t>
      </w:r>
    </w:p>
    <w:p>
      <w:pPr>
        <w:pStyle w:val="2"/>
        <w:rPr>
          <w:rFonts w:hint="eastAsia"/>
          <w:lang w:eastAsia="zh-CN"/>
        </w:rPr>
      </w:pPr>
    </w:p>
    <w:tbl>
      <w:tblPr>
        <w:tblStyle w:val="4"/>
        <w:tblpPr w:leftFromText="180" w:rightFromText="180" w:vertAnchor="text" w:horzAnchor="page" w:tblpX="480" w:tblpY="702"/>
        <w:tblOverlap w:val="never"/>
        <w:tblW w:w="14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02"/>
        <w:gridCol w:w="2419"/>
        <w:gridCol w:w="4427"/>
        <w:gridCol w:w="3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3802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2419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平均得分</w:t>
            </w:r>
          </w:p>
        </w:tc>
        <w:tc>
          <w:tcPr>
            <w:tcW w:w="4427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名次</w:t>
            </w:r>
          </w:p>
        </w:tc>
        <w:tc>
          <w:tcPr>
            <w:tcW w:w="355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3802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1、舟山市豫龙船舶工程有限公司</w:t>
            </w:r>
          </w:p>
        </w:tc>
        <w:tc>
          <w:tcPr>
            <w:tcW w:w="2419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18.2</w:t>
            </w:r>
          </w:p>
        </w:tc>
        <w:tc>
          <w:tcPr>
            <w:tcW w:w="4427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355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3802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2、舟山市三江船舶修造有限公司</w:t>
            </w:r>
          </w:p>
        </w:tc>
        <w:tc>
          <w:tcPr>
            <w:tcW w:w="2419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18.1</w:t>
            </w:r>
          </w:p>
        </w:tc>
        <w:tc>
          <w:tcPr>
            <w:tcW w:w="4427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355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3802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3、舟山市定海区大丰长沙船舶修造厂</w:t>
            </w:r>
          </w:p>
        </w:tc>
        <w:tc>
          <w:tcPr>
            <w:tcW w:w="2419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17.5</w:t>
            </w:r>
          </w:p>
        </w:tc>
        <w:tc>
          <w:tcPr>
            <w:tcW w:w="4427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355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3802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2"/>
                <w:szCs w:val="28"/>
                <w:lang w:val="en-US" w:eastAsia="zh-CN"/>
              </w:rPr>
              <w:t>4、浙江凯灵船厂</w:t>
            </w:r>
          </w:p>
        </w:tc>
        <w:tc>
          <w:tcPr>
            <w:tcW w:w="2419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16.9</w:t>
            </w:r>
          </w:p>
        </w:tc>
        <w:tc>
          <w:tcPr>
            <w:tcW w:w="4427" w:type="dxa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3550" w:type="dxa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4250" cy="5253990"/>
            <wp:effectExtent l="0" t="0" r="0" b="3810"/>
            <wp:docPr id="2" name="图片 2" descr="833c2fc028bc386cc1973dc17e3d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3c2fc028bc386cc1973dc17e3d7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3425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1250" cy="5261610"/>
            <wp:effectExtent l="0" t="0" r="6350" b="15240"/>
            <wp:docPr id="4" name="图片 4" descr="4d27c31de40bc241c8cddc95b489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d27c31de40bc241c8cddc95b4895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6125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9500" cy="5271770"/>
            <wp:effectExtent l="0" t="0" r="0" b="5080"/>
            <wp:docPr id="5" name="图片 5" descr="923b26cfdf7205abf46985773f67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3b26cfdf7205abf46985773f67b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2950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7750" cy="5273040"/>
            <wp:effectExtent l="0" t="0" r="12700" b="3810"/>
            <wp:docPr id="6" name="图片 6" descr="90fb6c653442a337381710cb6157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fb6c653442a337381710cb6157c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977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7750" cy="5258435"/>
            <wp:effectExtent l="0" t="0" r="12700" b="18415"/>
            <wp:docPr id="7" name="图片 7" descr="881619cc2ffb157c0d43f914f29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1619cc2ffb157c0d43f914f2907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9775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39000" cy="5252720"/>
            <wp:effectExtent l="0" t="0" r="0" b="5080"/>
            <wp:docPr id="8" name="图片 8" descr="c24c332bc46f229a9da266603440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4c332bc46f229a9da26660344062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390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5262245"/>
            <wp:effectExtent l="0" t="0" r="6350" b="14605"/>
            <wp:docPr id="9" name="图片 9" descr="dd6b0805128ac9b8b3962532cd7c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d6b0805128ac9b8b3962532cd7c4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6500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xZmViMTExNTNlNzllYWRhYzM5MDc4ODRhOTJlN2MifQ=="/>
  </w:docVars>
  <w:rsids>
    <w:rsidRoot w:val="7D9D2920"/>
    <w:rsid w:val="7D9D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qFormat/>
    <w:uiPriority w:val="0"/>
    <w:pPr>
      <w:spacing w:after="120"/>
      <w:ind w:left="420" w:leftChars="200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2022-07-14T02:54:00Z</dcterms:created>
  <dc:creator>孤^O^独狩猎</dc:creator>
  <cp:lastModifiedBy>孤^O^独狩猎</cp:lastModifiedBy>
  <dcterms:modified xsi:type="dcterms:W3CDTF">2022-07-14T03:08:08Z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A5B1F0B356CC4EF7A12602F4A69081C1</vt:lpwstr>
  </property>
</Properties>
</file>