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3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after="312" w:afterLines="100"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证据清单</w:t>
      </w:r>
      <w:r>
        <w:rPr>
          <w:rFonts w:hint="eastAsia" w:hAnsi="宋体"/>
          <w:sz w:val="30"/>
          <w:szCs w:val="30"/>
        </w:rPr>
        <w:t>（样式）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2160"/>
        <w:gridCol w:w="1123"/>
        <w:gridCol w:w="1180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证据名称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证明内容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来源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页码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after="312" w:afterLines="100"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after="312" w:afterLines="10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备注：证据清单需加盖答复人单位公章。</w:t>
      </w:r>
    </w:p>
    <w:p>
      <w:pPr>
        <w:spacing w:after="312" w:afterLines="10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证据清单一式（）份</w:t>
      </w:r>
    </w:p>
    <w:p>
      <w:pPr>
        <w:spacing w:after="312" w:afterLines="10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提供人：                      接收人：</w:t>
      </w:r>
    </w:p>
    <w:p>
      <w:pPr>
        <w:spacing w:after="312" w:afterLines="100" w:line="600" w:lineRule="exact"/>
      </w:pPr>
      <w:r>
        <w:rPr>
          <w:rFonts w:hint="eastAsia" w:ascii="仿宋_GB2312" w:eastAsia="仿宋_GB2312"/>
          <w:sz w:val="32"/>
          <w:szCs w:val="32"/>
        </w:rPr>
        <w:t>提供日期：                    接收日期：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01C11"/>
    <w:rsid w:val="08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2019-11-18T01:30:00Z</dcterms:created>
  <dc:creator>阿頭魚</dc:creator>
  <cp:lastModifiedBy>阿頭魚</cp:lastModifiedBy>
  <dcterms:modified xsi:type="dcterms:W3CDTF">2019-11-18T01:30:55Z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