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sz w:val="36"/>
          <w:szCs w:val="36"/>
        </w:rPr>
      </w:pPr>
      <w:bookmarkStart w:id="0" w:name="_GoBack"/>
      <w:r>
        <w:rPr>
          <w:rFonts w:hint="eastAsia" w:ascii="仿宋" w:hAnsi="仿宋" w:eastAsia="仿宋"/>
          <w:b/>
          <w:bCs/>
          <w:color w:val="000000"/>
          <w:sz w:val="36"/>
          <w:szCs w:val="36"/>
        </w:rPr>
        <w:t>特困人员供养服务设施（敬老院）改造提升基础指标</w:t>
      </w:r>
    </w:p>
    <w:bookmarkEnd w:id="0"/>
    <w:p>
      <w:pPr>
        <w:spacing w:line="640" w:lineRule="exact"/>
        <w:rPr>
          <w:rFonts w:ascii="方正仿宋_GBK" w:hAnsi="方正仿宋_GBK" w:eastAsia="方正仿宋_GBK" w:cs="方正仿宋_GBK"/>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947"/>
        <w:gridCol w:w="10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21" w:type="dxa"/>
            <w:noWrap w:val="0"/>
            <w:vAlign w:val="top"/>
          </w:tcPr>
          <w:p>
            <w:pPr>
              <w:snapToGrid w:val="0"/>
              <w:spacing w:line="560" w:lineRule="exact"/>
              <w:jc w:val="center"/>
              <w:rPr>
                <w:rFonts w:ascii="仿宋_GB2312" w:hAnsi="方正仿宋_GBK" w:eastAsia="仿宋_GB2312" w:cs="方正仿宋_GBK"/>
                <w:sz w:val="28"/>
                <w:szCs w:val="28"/>
              </w:rPr>
            </w:pPr>
            <w:r>
              <w:rPr>
                <w:rFonts w:hint="eastAsia" w:ascii="仿宋_GB2312" w:hAnsi="黑体" w:eastAsia="仿宋_GB2312" w:cs="黑体"/>
                <w:sz w:val="28"/>
                <w:szCs w:val="28"/>
              </w:rPr>
              <w:t>序号</w:t>
            </w:r>
          </w:p>
        </w:tc>
        <w:tc>
          <w:tcPr>
            <w:tcW w:w="2947" w:type="dxa"/>
            <w:noWrap w:val="0"/>
            <w:vAlign w:val="center"/>
          </w:tcPr>
          <w:p>
            <w:pPr>
              <w:snapToGrid w:val="0"/>
              <w:spacing w:line="560" w:lineRule="exact"/>
              <w:jc w:val="center"/>
              <w:rPr>
                <w:rFonts w:ascii="仿宋_GB2312" w:hAnsi="方正仿宋_GBK" w:eastAsia="仿宋_GB2312" w:cs="方正仿宋_GBK"/>
                <w:sz w:val="28"/>
                <w:szCs w:val="28"/>
              </w:rPr>
            </w:pPr>
            <w:r>
              <w:rPr>
                <w:rFonts w:hint="eastAsia" w:ascii="仿宋_GB2312" w:hAnsi="黑体" w:eastAsia="仿宋_GB2312" w:cs="黑体"/>
                <w:sz w:val="28"/>
                <w:szCs w:val="28"/>
              </w:rPr>
              <w:t>指标类别</w:t>
            </w:r>
          </w:p>
        </w:tc>
        <w:tc>
          <w:tcPr>
            <w:tcW w:w="10006" w:type="dxa"/>
            <w:noWrap w:val="0"/>
            <w:vAlign w:val="top"/>
          </w:tcPr>
          <w:p>
            <w:pPr>
              <w:snapToGrid w:val="0"/>
              <w:spacing w:line="560" w:lineRule="exact"/>
              <w:jc w:val="center"/>
              <w:rPr>
                <w:rFonts w:ascii="仿宋_GB2312" w:hAnsi="方正仿宋_GBK" w:eastAsia="仿宋_GB2312" w:cs="方正仿宋_GBK"/>
                <w:sz w:val="28"/>
                <w:szCs w:val="28"/>
              </w:rPr>
            </w:pPr>
            <w:r>
              <w:rPr>
                <w:rFonts w:hint="eastAsia" w:ascii="仿宋_GB2312" w:hAnsi="黑体" w:eastAsia="仿宋_GB2312" w:cs="黑体"/>
                <w:sz w:val="28"/>
                <w:szCs w:val="2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w:t>
            </w:r>
          </w:p>
        </w:tc>
        <w:tc>
          <w:tcPr>
            <w:tcW w:w="2947" w:type="dxa"/>
            <w:vMerge w:val="restart"/>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（一）建筑标准</w:t>
            </w: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1.入住对象用房抗震设防标准应为重点设防类。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2.建筑物耐火指标等级不应低于三级。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3.室内通道和床铺间距应满足轮椅和救护床进出及日常护理需要。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4</w:t>
            </w:r>
          </w:p>
        </w:tc>
        <w:tc>
          <w:tcPr>
            <w:tcW w:w="2947" w:type="dxa"/>
            <w:vMerge w:val="restart"/>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（二）设施设备</w:t>
            </w: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1.应配置包括给排水、采暖、通风、供电、安保、通信、消防、网络设备和必要的交通工具等。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5</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2.入住对象生活用房应集中供应生活热水或配置制备生活热水的设备。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3.入住对象生活用房应配置衣物储藏空间和洗涤、洗浴设施，并宜内设卫生间。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7</w:t>
            </w:r>
          </w:p>
        </w:tc>
        <w:tc>
          <w:tcPr>
            <w:tcW w:w="2947" w:type="dxa"/>
            <w:vMerge w:val="restart"/>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（三）院区场地</w:t>
            </w: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1.院区应设置通透式围墙或围栏装置，形成相对独立空间。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8</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2.场地应包括院区道路、室外活动场、衣物晾晒场、停车场、堆场等，有条件的地方可设置供养对象从事作业劳动的场地。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9</w:t>
            </w:r>
          </w:p>
        </w:tc>
        <w:tc>
          <w:tcPr>
            <w:tcW w:w="2947" w:type="dxa"/>
            <w:vMerge w:val="restart"/>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（四）用房功能</w:t>
            </w: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1.应设置入住对象用房，包括但不限于生活用房、医疗保健用房、公共活动用房。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10</w:t>
            </w:r>
          </w:p>
        </w:tc>
        <w:tc>
          <w:tcPr>
            <w:tcW w:w="2947" w:type="dxa"/>
            <w:vMerge w:val="continue"/>
            <w:noWrap w:val="0"/>
            <w:vAlign w:val="center"/>
          </w:tcPr>
          <w:p>
            <w:pPr>
              <w:spacing w:line="500" w:lineRule="exact"/>
              <w:rPr>
                <w:rFonts w:ascii="仿宋_GB2312" w:hAnsi="方正仿宋_GBK" w:eastAsia="仿宋_GB2312" w:cs="方正仿宋_GBK"/>
                <w:sz w:val="28"/>
                <w:szCs w:val="28"/>
              </w:rPr>
            </w:pPr>
          </w:p>
        </w:tc>
        <w:tc>
          <w:tcPr>
            <w:tcW w:w="10006" w:type="dxa"/>
            <w:noWrap w:val="0"/>
            <w:vAlign w:val="top"/>
          </w:tcPr>
          <w:p>
            <w:pPr>
              <w:numPr>
                <w:ilvl w:val="0"/>
                <w:numId w:val="1"/>
              </w:numPr>
              <w:spacing w:line="500" w:lineRule="exact"/>
              <w:ind w:left="360" w:hanging="36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应设置管理服务用房，包括但不限于管理用房、附属用房。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11</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numPr>
                <w:ilvl w:val="0"/>
                <w:numId w:val="1"/>
              </w:numPr>
              <w:spacing w:line="500" w:lineRule="exact"/>
              <w:ind w:left="360" w:hanging="36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入住对象生活用房宜与医疗保健、康复、娱乐、社会工作服务等设施贯连。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12</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numPr>
                <w:ilvl w:val="0"/>
                <w:numId w:val="1"/>
              </w:numPr>
              <w:spacing w:line="500" w:lineRule="exact"/>
              <w:ind w:left="360" w:hanging="36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入住对象居室和休息室不应设置在地下室、半地下室。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13</w:t>
            </w:r>
          </w:p>
        </w:tc>
        <w:tc>
          <w:tcPr>
            <w:tcW w:w="2947" w:type="dxa"/>
            <w:vMerge w:val="restart"/>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（五）适老化改造</w:t>
            </w: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1.出入口、门厅应设置坡道。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14</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2.平台、台阶、楼梯等设置应符合供养对象使用要求。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15</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3.对居住区缘石坡道、轮椅坡道、公共出入口、扶手、走道、电梯等设施和部位应实施无障碍改造。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16</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4.地面做防滑处理。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17</w:t>
            </w:r>
          </w:p>
        </w:tc>
        <w:tc>
          <w:tcPr>
            <w:tcW w:w="2947" w:type="dxa"/>
            <w:vMerge w:val="restart"/>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（六）照护型床位</w:t>
            </w: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1.应根据便于为失能入住对象提供服务和方便管理的原则设置照护单元。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18</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2.照护型床位的配套设备包括生活照护设备、医疗设备、康复设备、安防设备和必要的交通工具等。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19</w:t>
            </w:r>
          </w:p>
        </w:tc>
        <w:tc>
          <w:tcPr>
            <w:tcW w:w="2947" w:type="dxa"/>
            <w:vMerge w:val="restart"/>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（七）消防安全</w:t>
            </w: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1.对不需要设置自动消防系统的建筑，应当加强物防、技防措施，在人员住宿和主要活动场所安装独立式感烟火灾探测报警器和简易喷淋装置，配备应急照明和灭火器材。做好消防设施设备的维护保养。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20</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2.燃气设施使用正确，无私自拆、移、改动燃气装置的情况。设置可燃气体报警装置，维护和保养燃气设施设备。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21</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3.对电器产品及其线路、管路进行维护保养和检测，及时整改火灾隐患。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22</w:t>
            </w:r>
          </w:p>
        </w:tc>
        <w:tc>
          <w:tcPr>
            <w:tcW w:w="2947" w:type="dxa"/>
            <w:vMerge w:val="continue"/>
            <w:noWrap w:val="0"/>
            <w:vAlign w:val="center"/>
          </w:tcPr>
          <w:p>
            <w:pPr>
              <w:spacing w:line="500" w:lineRule="exact"/>
              <w:jc w:val="center"/>
              <w:rPr>
                <w:rFonts w:ascii="仿宋_GB2312" w:hAnsi="方正仿宋_GBK" w:eastAsia="仿宋_GB2312" w:cs="方正仿宋_GBK"/>
                <w:sz w:val="28"/>
                <w:szCs w:val="28"/>
              </w:rPr>
            </w:pPr>
          </w:p>
        </w:tc>
        <w:tc>
          <w:tcPr>
            <w:tcW w:w="10006" w:type="dxa"/>
            <w:noWrap w:val="0"/>
            <w:vAlign w:val="top"/>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4.符合《建筑设计防火规范》（GB 50016-2014）等相关标准规范要求。</w:t>
            </w:r>
          </w:p>
        </w:tc>
      </w:tr>
    </w:tbl>
    <w:p>
      <w:pPr>
        <w:spacing w:line="640" w:lineRule="exact"/>
        <w:rPr>
          <w:rFonts w:ascii="仿宋_GB2312" w:hAnsi="方正仿宋_GBK" w:eastAsia="仿宋_GB2312" w:cs="方正仿宋_GBK"/>
          <w:sz w:val="28"/>
          <w:szCs w:val="28"/>
        </w:rPr>
      </w:pPr>
    </w:p>
    <w:p>
      <w:pPr>
        <w:spacing w:line="600" w:lineRule="exact"/>
        <w:ind w:firstLine="562" w:firstLineChars="200"/>
        <w:rPr>
          <w:rFonts w:ascii="仿宋_GB2312" w:hAnsi="仿宋" w:eastAsia="仿宋_GB2312"/>
          <w:b/>
          <w:bCs/>
          <w:color w:val="000000"/>
          <w:sz w:val="28"/>
          <w:szCs w:val="28"/>
        </w:rPr>
      </w:pPr>
    </w:p>
    <w:p>
      <w:pPr>
        <w:spacing w:line="600" w:lineRule="exact"/>
        <w:ind w:firstLine="470" w:firstLineChars="147"/>
        <w:rPr>
          <w:rFonts w:ascii="仿宋" w:hAnsi="仿宋" w:eastAsia="仿宋"/>
          <w:color w:val="000000"/>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tabs>
          <w:tab w:val="left" w:pos="6300"/>
        </w:tabs>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04133"/>
    <w:multiLevelType w:val="singleLevel"/>
    <w:tmpl w:val="5D20413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02300"/>
    <w:rsid w:val="3010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2020-07-13T02:05:00Z</dcterms:created>
  <dc:creator>cy</dc:creator>
  <cp:lastModifiedBy>cy</cp:lastModifiedBy>
  <dcterms:modified xsi:type="dcterms:W3CDTF">2020-07-13T02:06:13Z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