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05" w:rsidRDefault="00310247">
      <w:pPr>
        <w:pStyle w:val="a3"/>
        <w:shd w:val="clear" w:color="auto" w:fill="FFFFFF"/>
        <w:spacing w:before="0" w:beforeAutospacing="0" w:after="0" w:afterAutospacing="0"/>
        <w:jc w:val="center"/>
        <w:rPr>
          <w:rFonts w:ascii="方正小标宋简体" w:eastAsia="方正小标宋简体"/>
          <w:bCs/>
          <w:color w:val="000000" w:themeColor="text1"/>
          <w:sz w:val="44"/>
          <w:szCs w:val="44"/>
          <w:shd w:val="clear" w:color="auto" w:fill="FFFFFF"/>
        </w:rPr>
      </w:pPr>
      <w:r>
        <w:rPr>
          <w:rFonts w:ascii="方正小标宋简体" w:eastAsia="方正小标宋简体" w:hint="eastAsia"/>
          <w:bCs/>
          <w:color w:val="000000" w:themeColor="text1"/>
          <w:sz w:val="44"/>
          <w:szCs w:val="44"/>
          <w:shd w:val="clear" w:color="auto" w:fill="FFFFFF"/>
        </w:rPr>
        <w:t>2021年政府信息公开工作年度报告</w:t>
      </w:r>
    </w:p>
    <w:p w:rsidR="00B20F05" w:rsidRDefault="00B20F05">
      <w:pPr>
        <w:pStyle w:val="a3"/>
        <w:shd w:val="clear" w:color="auto" w:fill="FFFFFF"/>
        <w:spacing w:before="0" w:beforeAutospacing="0" w:after="0" w:afterAutospacing="0"/>
        <w:jc w:val="center"/>
        <w:rPr>
          <w:rFonts w:ascii="方正小标宋简体" w:eastAsia="方正小标宋简体"/>
          <w:bCs/>
          <w:color w:val="000000" w:themeColor="text1"/>
          <w:sz w:val="36"/>
          <w:szCs w:val="36"/>
          <w:shd w:val="clear" w:color="auto" w:fill="FFFFFF"/>
        </w:rPr>
      </w:pPr>
    </w:p>
    <w:p w:rsidR="00B20F05" w:rsidRDefault="00310247">
      <w:pPr>
        <w:numPr>
          <w:ilvl w:val="0"/>
          <w:numId w:val="1"/>
        </w:num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总体情况</w:t>
      </w:r>
    </w:p>
    <w:p w:rsidR="00B20F05" w:rsidRDefault="00310247">
      <w:pPr>
        <w:wordWrap w:val="0"/>
        <w:overflowPunct w:val="0"/>
        <w:topLinePunct/>
        <w:autoSpaceDN w:val="0"/>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2021年，我局根据舟山市定海区人民政府办公室《2021年定海区政务公开工作要点》要求，紧紧围绕区委、区政府决策部署，</w:t>
      </w:r>
      <w:r>
        <w:rPr>
          <w:rFonts w:ascii="仿宋_GB2312" w:eastAsia="仿宋_GB2312" w:cs="仿宋_GB2312" w:hint="eastAsia"/>
          <w:color w:val="000000" w:themeColor="text1"/>
          <w:sz w:val="32"/>
          <w:szCs w:val="32"/>
        </w:rPr>
        <w:t>坚持以习近平新时代中国特色社会主义思想为指导，以人民为中心深化政务公开，以系统观念谋划实施政务公开，强化重点领域公开，增强解读回应实效，规范依申请公开，提升政务公开平台数字化水平，夯实政务公开基层基础。</w:t>
      </w:r>
      <w:r>
        <w:rPr>
          <w:rFonts w:ascii="仿宋_GB2312" w:eastAsia="仿宋_GB2312" w:hAnsi="仿宋_GB2312" w:cs="仿宋_GB2312" w:hint="eastAsia"/>
          <w:color w:val="000000" w:themeColor="text1"/>
          <w:sz w:val="32"/>
          <w:szCs w:val="32"/>
        </w:rPr>
        <w:t>我局强化组织领导，不断创新政府信息公开载体，完善政府信息公开制度流程，不断深化政府信息公开内容，全面提升政府信息公开工作水平。现将2021年政务公开工作情况汇报如下：</w:t>
      </w:r>
    </w:p>
    <w:p w:rsidR="00B20F05" w:rsidRDefault="00310247">
      <w:pPr>
        <w:numPr>
          <w:ilvl w:val="0"/>
          <w:numId w:val="1"/>
        </w:numPr>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加强政府信息管理，推动政府信息公开平台规范化建设</w:t>
      </w:r>
    </w:p>
    <w:p w:rsidR="00B20F05" w:rsidRDefault="00310247">
      <w:pPr>
        <w:numPr>
          <w:ilvl w:val="0"/>
          <w:numId w:val="2"/>
        </w:numPr>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抓基础，加强政务公开主动性。</w:t>
      </w:r>
      <w:r>
        <w:rPr>
          <w:rFonts w:ascii="仿宋_GB2312" w:eastAsia="仿宋_GB2312" w:hAnsi="仿宋_GB2312" w:cs="仿宋_GB2312" w:hint="eastAsia"/>
          <w:color w:val="000000" w:themeColor="text1"/>
          <w:sz w:val="32"/>
          <w:szCs w:val="32"/>
        </w:rPr>
        <w:t>舟山市定海区政府门户网政府信息公开平台作为我局政务信息公开的重要途径之一，按照政务公开工作要求，我局重点公开机构概况、班子成员职责分工、人事信息、通知公告、政策文件、发展规划、部门预决算、工程项目招投标等信息,并实时更新完善。截至12月底，我局主动公开政府信息数371条。其中，政务类信息80条，占总体比例的21.56%；业务类信息188</w:t>
      </w:r>
      <w:r>
        <w:rPr>
          <w:rFonts w:ascii="仿宋_GB2312" w:eastAsia="仿宋_GB2312" w:hAnsi="仿宋_GB2312" w:cs="仿宋_GB2312" w:hint="eastAsia"/>
          <w:color w:val="000000" w:themeColor="text1"/>
          <w:sz w:val="32"/>
          <w:szCs w:val="32"/>
        </w:rPr>
        <w:lastRenderedPageBreak/>
        <w:t>条，占总体比例的50.67%；便民服务类93条，占总体比例的25.06%；提案议案类10条，占总体比例的2.69%。</w:t>
      </w:r>
    </w:p>
    <w:p w:rsidR="00B20F05" w:rsidRDefault="00310247">
      <w:pPr>
        <w:numPr>
          <w:ilvl w:val="0"/>
          <w:numId w:val="2"/>
        </w:numPr>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抓规范，加强重大行政决策事项目录公开严谨</w:t>
      </w:r>
      <w:r>
        <w:rPr>
          <w:rFonts w:ascii="仿宋_GB2312" w:eastAsia="仿宋_GB2312" w:hAnsi="仿宋_GB2312" w:cs="仿宋_GB2312"/>
          <w:b/>
          <w:bCs/>
          <w:color w:val="000000" w:themeColor="text1"/>
          <w:sz w:val="32"/>
          <w:szCs w:val="32"/>
        </w:rPr>
        <w:t>性</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color w:val="000000" w:themeColor="text1"/>
          <w:sz w:val="32"/>
          <w:szCs w:val="32"/>
        </w:rPr>
        <w:t>我局认真贯彻《重大行政决策程序暂行条例》和《浙江省重大行政决策程序规定》，按照《舟山市定海区人民政府重大行政决策程序规定》以及区政府要求，依法履行决策事项向社会公开征求意见。结合工作实际，于4月19日在区政府信息公开平台上公布了《定海区交通运输局2021年度重大行政决策事项目录》。关于嵊泗至定海公路马岙至定海疏港公路第二标段工程的工程实施计划。对目录所列决策事项，我局领导第一时间解读，释放权威政策信号。</w:t>
      </w:r>
    </w:p>
    <w:p w:rsidR="00B20F05" w:rsidRDefault="00310247">
      <w:pPr>
        <w:numPr>
          <w:ilvl w:val="0"/>
          <w:numId w:val="2"/>
        </w:numPr>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抓重点，加强公开年度重大项目建设情况重要性。</w:t>
      </w:r>
      <w:r>
        <w:rPr>
          <w:rFonts w:ascii="仿宋_GB2312" w:eastAsia="仿宋_GB2312" w:hAnsi="仿宋_GB2312" w:cs="仿宋_GB2312" w:hint="eastAsia"/>
          <w:color w:val="000000" w:themeColor="text1"/>
          <w:sz w:val="32"/>
          <w:szCs w:val="32"/>
        </w:rPr>
        <w:t>今年，我局的重大项目建设分别位于我区主城区北部和西部门户的两大主要交通基建项目嵊泗至定海公路马岙至定海疏港公路工程和S321（72省道）定海至盐仓段改建工程，以及</w:t>
      </w:r>
      <w:r>
        <w:rPr>
          <w:rFonts w:ascii="仿宋_GB2312" w:eastAsia="仿宋_GB2312" w:hAnsi="仿宋_GB2312" w:cs="仿宋_GB2312" w:hint="eastAsia"/>
          <w:sz w:val="32"/>
          <w:szCs w:val="32"/>
        </w:rPr>
        <w:t>定海陆岛客运码头建设工程</w:t>
      </w:r>
      <w:r>
        <w:rPr>
          <w:rFonts w:ascii="仿宋_GB2312" w:eastAsia="仿宋_GB2312" w:hAnsi="仿宋_GB2312" w:cs="仿宋_GB2312" w:hint="eastAsia"/>
          <w:color w:val="000000" w:themeColor="text1"/>
          <w:sz w:val="32"/>
          <w:szCs w:val="32"/>
        </w:rPr>
        <w:t>。在重大建设项目专题专栏中，我局重点公开定海盘峙车渡码头、嵊泗至定海公路马岙至定海疏港公路项目、S321省道定海至盐仓段项目6个项目工程招标投标信息；册子交通码头工程、岑港钓山交通码头工程和大猫合兴交通码头工程及嵊泗至定海公路马岙至定海疏港公路项目的质量安全监督信息、竣工有关信息等信息。</w:t>
      </w:r>
    </w:p>
    <w:p w:rsidR="00B20F05" w:rsidRDefault="00310247">
      <w:pPr>
        <w:numPr>
          <w:ilvl w:val="0"/>
          <w:numId w:val="1"/>
        </w:numPr>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lastRenderedPageBreak/>
        <w:t>加强政民互动，提升服务管理水平</w:t>
      </w:r>
    </w:p>
    <w:p w:rsidR="00B20F05" w:rsidRDefault="0031024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是推进物流降本增效工作。为进一步落实国务院有关“放管服”改革要求，深化道路运输改革，精简道路货运行政许可事项，全区共注销总质量4.5吨以下货车道路运输证495本，有效降低企业物流成本。二是落实“两检合一”工作要求。在车辆年审手续中实现“两检合一”，确保政策有效落地，避免了以往营运货车年度审验重复检验，重复收费现象，达到了简政、降费、增效的效果，切实提升企业获得感。三是实现普通货车年审“零次跑”。将普通货运车辆年审环节服务前移至综合性能检测机构，在证件有效的情况下，现场完成车辆检测，报告比对，并通过线上（微信群）完成检测站和窗口之间审核，一条龙完成检测、年审签注所有手续办理，大大缩减了群众来回跑的次数及时间和精力成本，自2019年实施开始至今，定海本级共有1141 辆货车实现车辆年审零次跑。四是串联手续，加强互联网应用。经网上技术提升，全省已全面实施普通货运车辆实行网上审验，异地签注工作。交通窗口通过一对一现场指导，线上线下管家等开展营运车辆网上年审，2019年1月起窗口针对车辆在宁波的，注册在定海的企业引导他们实施网上年审，目前网上年审率已达100%。</w:t>
      </w:r>
    </w:p>
    <w:p w:rsidR="00B20F05" w:rsidRDefault="0031024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截止到11月份底，定海交通窗口共办理10541件。其中申报行政许可事项1856</w:t>
      </w:r>
      <w:r w:rsidR="00E767FD">
        <w:rPr>
          <w:rFonts w:ascii="仿宋_GB2312" w:eastAsia="仿宋_GB2312" w:hAnsi="仿宋_GB2312" w:cs="仿宋_GB2312" w:hint="eastAsia"/>
          <w:color w:val="000000" w:themeColor="text1"/>
          <w:sz w:val="32"/>
          <w:szCs w:val="32"/>
        </w:rPr>
        <w:t>件，办理其它权力</w:t>
      </w:r>
      <w:r>
        <w:rPr>
          <w:rFonts w:ascii="仿宋_GB2312" w:eastAsia="仿宋_GB2312" w:hAnsi="仿宋_GB2312" w:cs="仿宋_GB2312" w:hint="eastAsia"/>
          <w:color w:val="000000" w:themeColor="text1"/>
          <w:sz w:val="32"/>
          <w:szCs w:val="32"/>
        </w:rPr>
        <w:t>事项8685件。</w:t>
      </w:r>
      <w:r>
        <w:rPr>
          <w:rFonts w:ascii="仿宋_GB2312" w:eastAsia="仿宋_GB2312" w:hAnsi="仿宋_GB2312" w:cs="仿宋_GB2312" w:hint="eastAsia"/>
          <w:color w:val="000000" w:themeColor="text1"/>
          <w:sz w:val="32"/>
          <w:szCs w:val="32"/>
        </w:rPr>
        <w:lastRenderedPageBreak/>
        <w:t>办结率达到100%。窗口共办理不见面审批事项810件，自助年审366辆，网上年审2884辆，快递送达78件。全年无行政复议案件和行政诉讼案件发生，无一起“三乱”行为发生。</w:t>
      </w:r>
    </w:p>
    <w:p w:rsidR="00B20F05" w:rsidRDefault="00310247">
      <w:pPr>
        <w:numPr>
          <w:ilvl w:val="0"/>
          <w:numId w:val="1"/>
        </w:numPr>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优化公开渠道，加强政务新媒体管理数字化建设。</w:t>
      </w:r>
    </w:p>
    <w:p w:rsidR="00B20F05" w:rsidRDefault="0031024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通过报纸、微信等媒体平台向社会各界宣传我局工作动态信息，拓宽信息宣传渠道。优化公开渠道，加大政务新媒体对重要政策及其解读等政府权威信息的推送力度，截至11月底，今年共推送微信信息共计58条。报刊杂志等媒体录用220余篇。</w:t>
      </w:r>
    </w:p>
    <w:p w:rsidR="00B20F05" w:rsidRDefault="00310247">
      <w:pPr>
        <w:numPr>
          <w:ilvl w:val="0"/>
          <w:numId w:val="1"/>
        </w:numPr>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依申请公开政府信息的情况</w:t>
      </w:r>
    </w:p>
    <w:p w:rsidR="00B20F05" w:rsidRDefault="0031024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2021年，我局共受理政府信息公开申请0件。</w:t>
      </w:r>
    </w:p>
    <w:p w:rsidR="00B20F05" w:rsidRDefault="00310247">
      <w:pPr>
        <w:numPr>
          <w:ilvl w:val="0"/>
          <w:numId w:val="1"/>
        </w:numPr>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开展政策解读、回应关切情况</w:t>
      </w:r>
    </w:p>
    <w:p w:rsidR="00B20F05" w:rsidRDefault="0031024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认真执行《浙江省行政机关政策解读工作实施办法》，健全完善政策解读工作机制。今年，我局共接到区人大、政协主办议案建议、提案总计12件，其中主办件8件，协办件4件，内容主要涉及交通基础设施的完善和公交线路的优化调整等方面。网络问政今年共收到群众咨询、提问4件，均已完成答复。本年度总计受理305件信访投诉件，其中7件为来访来信件，均予以答复，按时办结率100%。</w:t>
      </w:r>
    </w:p>
    <w:p w:rsidR="00B20F05" w:rsidRDefault="00310247">
      <w:pPr>
        <w:numPr>
          <w:ilvl w:val="0"/>
          <w:numId w:val="1"/>
        </w:numPr>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监督保障情况</w:t>
      </w:r>
    </w:p>
    <w:p w:rsidR="00B20F05" w:rsidRDefault="0031024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按照“谁起草、谁解读”原则，规范信息发布程序，做好保密审查。拟制公文时，明确主动公开、依申请公开、不</w:t>
      </w:r>
      <w:r>
        <w:rPr>
          <w:rFonts w:ascii="仿宋_GB2312" w:eastAsia="仿宋_GB2312" w:hAnsi="仿宋_GB2312" w:cs="仿宋_GB2312" w:hint="eastAsia"/>
          <w:color w:val="000000" w:themeColor="text1"/>
          <w:sz w:val="32"/>
          <w:szCs w:val="32"/>
        </w:rPr>
        <w:lastRenderedPageBreak/>
        <w:t>予公开等属性，随公文一并报批。拟不予公开的，应依法依规说明理由。坚持“先审查、后公开”、“一事一审”、“上网不涉密，涉密不上网”等原则，做好政府信息公开保密审查工作，确保不发生失、泄密问题。建立政府信息公开保密审查台账，管理中有据可查、有章可循。做到该公开的全部公开，该保密的坚决保密，确保我局政府信息公开工作的顺利开展。</w:t>
      </w:r>
    </w:p>
    <w:p w:rsidR="00B20F05" w:rsidRDefault="00310247">
      <w:pPr>
        <w:numPr>
          <w:ilvl w:val="0"/>
          <w:numId w:val="1"/>
        </w:num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主动公开政府信息情况</w:t>
      </w:r>
    </w:p>
    <w:tbl>
      <w:tblPr>
        <w:tblW w:w="9189" w:type="dxa"/>
        <w:jc w:val="center"/>
        <w:tblLayout w:type="fixed"/>
        <w:tblCellMar>
          <w:left w:w="0" w:type="dxa"/>
          <w:right w:w="0" w:type="dxa"/>
        </w:tblCellMar>
        <w:tblLook w:val="04A0"/>
      </w:tblPr>
      <w:tblGrid>
        <w:gridCol w:w="2474"/>
        <w:gridCol w:w="2275"/>
        <w:gridCol w:w="2177"/>
        <w:gridCol w:w="2263"/>
      </w:tblGrid>
      <w:tr w:rsidR="00B20F05">
        <w:trPr>
          <w:trHeight w:hRule="exact" w:val="474"/>
          <w:jc w:val="center"/>
        </w:trPr>
        <w:tc>
          <w:tcPr>
            <w:tcW w:w="9189" w:type="dxa"/>
            <w:gridSpan w:val="4"/>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bottom"/>
          </w:tcPr>
          <w:p w:rsidR="00B20F05" w:rsidRDefault="00310247">
            <w:pPr>
              <w:widowControl/>
              <w:spacing w:line="320" w:lineRule="exact"/>
              <w:jc w:val="center"/>
              <w:rPr>
                <w:rFonts w:ascii="宋体" w:hAnsi="宋体" w:cs="宋体"/>
                <w:bCs/>
                <w:sz w:val="24"/>
              </w:rPr>
            </w:pPr>
            <w:r>
              <w:rPr>
                <w:rFonts w:ascii="宋体" w:hAnsi="宋体" w:cs="宋体" w:hint="eastAsia"/>
                <w:bCs/>
                <w:kern w:val="0"/>
                <w:sz w:val="24"/>
              </w:rPr>
              <w:t>第二十条第（一）项</w:t>
            </w:r>
          </w:p>
        </w:tc>
      </w:tr>
      <w:tr w:rsidR="00B20F05">
        <w:trPr>
          <w:trHeight w:hRule="exact" w:val="485"/>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kern w:val="0"/>
                <w:sz w:val="24"/>
              </w:rPr>
              <w:t>信息内容</w:t>
            </w:r>
          </w:p>
        </w:tc>
        <w:tc>
          <w:tcPr>
            <w:tcW w:w="2275" w:type="dxa"/>
            <w:tcBorders>
              <w:top w:val="single" w:sz="8" w:space="0" w:color="auto"/>
              <w:left w:val="nil"/>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kern w:val="0"/>
                <w:sz w:val="24"/>
              </w:rPr>
              <w:t>本年制发件数</w:t>
            </w:r>
          </w:p>
        </w:tc>
        <w:tc>
          <w:tcPr>
            <w:tcW w:w="2177"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spacing w:val="-20"/>
                <w:kern w:val="0"/>
                <w:sz w:val="24"/>
              </w:rPr>
              <w:t>本年废止件数</w:t>
            </w:r>
          </w:p>
        </w:tc>
        <w:tc>
          <w:tcPr>
            <w:tcW w:w="2263" w:type="dxa"/>
            <w:tcBorders>
              <w:top w:val="nil"/>
              <w:left w:val="nil"/>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kern w:val="0"/>
                <w:sz w:val="24"/>
              </w:rPr>
              <w:t>现行有效件数</w:t>
            </w:r>
          </w:p>
        </w:tc>
      </w:tr>
      <w:tr w:rsidR="00B20F05">
        <w:trPr>
          <w:trHeight w:hRule="exact" w:val="485"/>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left"/>
              <w:rPr>
                <w:rFonts w:ascii="宋体" w:hAnsi="宋体" w:cs="宋体"/>
                <w:bCs/>
                <w:kern w:val="0"/>
                <w:sz w:val="24"/>
              </w:rPr>
            </w:pPr>
            <w:r>
              <w:rPr>
                <w:rFonts w:ascii="宋体" w:hAnsi="宋体" w:cs="宋体" w:hint="eastAsia"/>
                <w:bCs/>
                <w:kern w:val="0"/>
                <w:sz w:val="24"/>
              </w:rPr>
              <w:t>规章</w:t>
            </w:r>
          </w:p>
        </w:tc>
        <w:tc>
          <w:tcPr>
            <w:tcW w:w="2275" w:type="dxa"/>
            <w:tcBorders>
              <w:top w:val="single" w:sz="8" w:space="0" w:color="auto"/>
              <w:left w:val="nil"/>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kern w:val="0"/>
                <w:sz w:val="24"/>
              </w:rPr>
            </w:pPr>
            <w:r>
              <w:rPr>
                <w:rFonts w:ascii="宋体" w:hAnsi="宋体" w:cs="宋体" w:hint="eastAsia"/>
                <w:bCs/>
                <w:kern w:val="0"/>
                <w:sz w:val="24"/>
              </w:rPr>
              <w:t>0</w:t>
            </w:r>
          </w:p>
        </w:tc>
        <w:tc>
          <w:tcPr>
            <w:tcW w:w="2177"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pacing w:val="-20"/>
                <w:kern w:val="0"/>
                <w:sz w:val="24"/>
              </w:rPr>
            </w:pPr>
            <w:r>
              <w:rPr>
                <w:rFonts w:ascii="宋体" w:hAnsi="宋体" w:cs="宋体" w:hint="eastAsia"/>
                <w:bCs/>
                <w:spacing w:val="-20"/>
                <w:kern w:val="0"/>
                <w:sz w:val="24"/>
              </w:rPr>
              <w:t>0</w:t>
            </w:r>
          </w:p>
        </w:tc>
        <w:tc>
          <w:tcPr>
            <w:tcW w:w="2263" w:type="dxa"/>
            <w:tcBorders>
              <w:top w:val="nil"/>
              <w:left w:val="nil"/>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kern w:val="0"/>
                <w:sz w:val="24"/>
              </w:rPr>
            </w:pPr>
            <w:r>
              <w:rPr>
                <w:rFonts w:ascii="宋体" w:hAnsi="宋体" w:cs="宋体" w:hint="eastAsia"/>
                <w:bCs/>
                <w:kern w:val="0"/>
                <w:sz w:val="24"/>
              </w:rPr>
              <w:t>0</w:t>
            </w:r>
          </w:p>
        </w:tc>
      </w:tr>
      <w:tr w:rsidR="00B20F05">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left"/>
              <w:rPr>
                <w:rFonts w:ascii="宋体" w:hAnsi="宋体" w:cs="宋体"/>
                <w:bCs/>
                <w:sz w:val="24"/>
              </w:rPr>
            </w:pPr>
            <w:r>
              <w:rPr>
                <w:rFonts w:ascii="宋体" w:hAnsi="宋体" w:cs="宋体" w:hint="eastAsia"/>
                <w:bCs/>
                <w:sz w:val="24"/>
              </w:rPr>
              <w:t>行政规范性文件</w:t>
            </w:r>
          </w:p>
        </w:tc>
        <w:tc>
          <w:tcPr>
            <w:tcW w:w="2275" w:type="dxa"/>
            <w:tcBorders>
              <w:top w:val="nil"/>
              <w:left w:val="nil"/>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sz w:val="24"/>
              </w:rPr>
              <w:t>0</w:t>
            </w:r>
          </w:p>
        </w:tc>
        <w:tc>
          <w:tcPr>
            <w:tcW w:w="217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sz w:val="24"/>
              </w:rPr>
              <w:t>0</w:t>
            </w:r>
          </w:p>
        </w:tc>
        <w:tc>
          <w:tcPr>
            <w:tcW w:w="2263" w:type="dxa"/>
            <w:tcBorders>
              <w:top w:val="nil"/>
              <w:left w:val="nil"/>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sz w:val="24"/>
              </w:rPr>
              <w:t>0</w:t>
            </w:r>
          </w:p>
        </w:tc>
      </w:tr>
      <w:tr w:rsidR="00B20F05">
        <w:trPr>
          <w:trHeight w:hRule="exact" w:val="474"/>
          <w:jc w:val="center"/>
        </w:trPr>
        <w:tc>
          <w:tcPr>
            <w:tcW w:w="9189"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kern w:val="0"/>
                <w:sz w:val="24"/>
              </w:rPr>
              <w:t>第二十条第（五）项</w:t>
            </w:r>
          </w:p>
        </w:tc>
      </w:tr>
      <w:tr w:rsidR="00B20F05">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kern w:val="0"/>
                <w:sz w:val="24"/>
              </w:rPr>
              <w:t>信息内容</w:t>
            </w:r>
          </w:p>
        </w:tc>
        <w:tc>
          <w:tcPr>
            <w:tcW w:w="6715"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kern w:val="0"/>
                <w:sz w:val="24"/>
              </w:rPr>
              <w:t>本年处理决定数量</w:t>
            </w:r>
          </w:p>
        </w:tc>
      </w:tr>
      <w:tr w:rsidR="00B20F05">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left"/>
              <w:rPr>
                <w:rFonts w:ascii="宋体" w:hAnsi="宋体" w:cs="宋体"/>
                <w:bCs/>
                <w:sz w:val="24"/>
              </w:rPr>
            </w:pPr>
            <w:r>
              <w:rPr>
                <w:rFonts w:ascii="宋体" w:hAnsi="宋体" w:cs="宋体" w:hint="eastAsia"/>
                <w:bCs/>
                <w:kern w:val="0"/>
                <w:sz w:val="24"/>
              </w:rPr>
              <w:t>行政许可</w:t>
            </w:r>
          </w:p>
        </w:tc>
        <w:tc>
          <w:tcPr>
            <w:tcW w:w="6715" w:type="dxa"/>
            <w:gridSpan w:val="3"/>
            <w:tcBorders>
              <w:top w:val="nil"/>
              <w:left w:val="nil"/>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color w:val="000000"/>
                <w:kern w:val="0"/>
                <w:sz w:val="20"/>
                <w:szCs w:val="20"/>
              </w:rPr>
              <w:t>1984</w:t>
            </w:r>
          </w:p>
        </w:tc>
      </w:tr>
      <w:tr w:rsidR="00B20F05">
        <w:trPr>
          <w:trHeight w:hRule="exact" w:val="474"/>
          <w:jc w:val="center"/>
        </w:trPr>
        <w:tc>
          <w:tcPr>
            <w:tcW w:w="9189"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kern w:val="0"/>
                <w:sz w:val="24"/>
              </w:rPr>
              <w:t>第二十条第（六）项</w:t>
            </w:r>
          </w:p>
        </w:tc>
      </w:tr>
      <w:tr w:rsidR="00B20F05">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kern w:val="0"/>
                <w:sz w:val="24"/>
              </w:rPr>
              <w:t>信息内容</w:t>
            </w:r>
          </w:p>
        </w:tc>
        <w:tc>
          <w:tcPr>
            <w:tcW w:w="6715"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kern w:val="0"/>
                <w:sz w:val="24"/>
              </w:rPr>
              <w:t>本年处理决定数量</w:t>
            </w:r>
          </w:p>
        </w:tc>
      </w:tr>
      <w:tr w:rsidR="00B20F05">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left"/>
              <w:rPr>
                <w:rFonts w:ascii="宋体" w:hAnsi="宋体" w:cs="宋体"/>
                <w:bCs/>
                <w:sz w:val="24"/>
              </w:rPr>
            </w:pPr>
            <w:r>
              <w:rPr>
                <w:rFonts w:ascii="宋体" w:hAnsi="宋体" w:cs="宋体" w:hint="eastAsia"/>
                <w:bCs/>
                <w:kern w:val="0"/>
                <w:sz w:val="24"/>
              </w:rPr>
              <w:t>行政处罚</w:t>
            </w:r>
          </w:p>
        </w:tc>
        <w:tc>
          <w:tcPr>
            <w:tcW w:w="6715" w:type="dxa"/>
            <w:gridSpan w:val="3"/>
            <w:tcBorders>
              <w:top w:val="nil"/>
              <w:left w:val="nil"/>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color w:val="000000"/>
                <w:kern w:val="0"/>
                <w:sz w:val="20"/>
                <w:szCs w:val="20"/>
              </w:rPr>
              <w:t>379</w:t>
            </w:r>
          </w:p>
        </w:tc>
      </w:tr>
      <w:tr w:rsidR="00B20F05">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left"/>
              <w:rPr>
                <w:rFonts w:ascii="宋体" w:hAnsi="宋体" w:cs="宋体"/>
                <w:bCs/>
                <w:sz w:val="24"/>
              </w:rPr>
            </w:pPr>
            <w:r>
              <w:rPr>
                <w:rFonts w:ascii="宋体" w:hAnsi="宋体" w:cs="宋体" w:hint="eastAsia"/>
                <w:bCs/>
                <w:kern w:val="0"/>
                <w:sz w:val="24"/>
              </w:rPr>
              <w:t>行政强制</w:t>
            </w:r>
          </w:p>
        </w:tc>
        <w:tc>
          <w:tcPr>
            <w:tcW w:w="6715" w:type="dxa"/>
            <w:gridSpan w:val="3"/>
            <w:tcBorders>
              <w:top w:val="nil"/>
              <w:left w:val="nil"/>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color w:val="000000"/>
                <w:kern w:val="0"/>
                <w:sz w:val="20"/>
                <w:szCs w:val="20"/>
              </w:rPr>
              <w:t>69</w:t>
            </w:r>
          </w:p>
        </w:tc>
      </w:tr>
      <w:tr w:rsidR="00B20F05">
        <w:trPr>
          <w:trHeight w:hRule="exact" w:val="474"/>
          <w:jc w:val="center"/>
        </w:trPr>
        <w:tc>
          <w:tcPr>
            <w:tcW w:w="9189"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kern w:val="0"/>
                <w:sz w:val="24"/>
              </w:rPr>
              <w:t>第二十条第（八）项</w:t>
            </w:r>
          </w:p>
        </w:tc>
      </w:tr>
      <w:tr w:rsidR="00B20F05">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kern w:val="0"/>
                <w:sz w:val="24"/>
              </w:rPr>
              <w:t>信息内容</w:t>
            </w:r>
          </w:p>
        </w:tc>
        <w:tc>
          <w:tcPr>
            <w:tcW w:w="6715" w:type="dxa"/>
            <w:gridSpan w:val="3"/>
            <w:tcBorders>
              <w:top w:val="nil"/>
              <w:left w:val="nil"/>
              <w:bottom w:val="single" w:sz="8" w:space="0" w:color="auto"/>
              <w:right w:val="single" w:sz="8" w:space="0" w:color="000000"/>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sz w:val="24"/>
              </w:rPr>
              <w:t>本年收费金额（单位：万元）</w:t>
            </w:r>
          </w:p>
        </w:tc>
      </w:tr>
      <w:tr w:rsidR="00B20F05">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B20F05" w:rsidRDefault="00310247">
            <w:pPr>
              <w:widowControl/>
              <w:spacing w:line="320" w:lineRule="exact"/>
              <w:jc w:val="left"/>
              <w:rPr>
                <w:rFonts w:ascii="宋体" w:hAnsi="宋体" w:cs="宋体"/>
                <w:bCs/>
                <w:sz w:val="24"/>
              </w:rPr>
            </w:pPr>
            <w:r>
              <w:rPr>
                <w:rFonts w:ascii="宋体" w:hAnsi="宋体" w:cs="宋体" w:hint="eastAsia"/>
                <w:bCs/>
                <w:kern w:val="0"/>
                <w:sz w:val="24"/>
              </w:rPr>
              <w:t>行政事业性收费</w:t>
            </w:r>
          </w:p>
        </w:tc>
        <w:tc>
          <w:tcPr>
            <w:tcW w:w="6715" w:type="dxa"/>
            <w:gridSpan w:val="3"/>
            <w:tcBorders>
              <w:top w:val="nil"/>
              <w:left w:val="nil"/>
              <w:bottom w:val="single" w:sz="8" w:space="0" w:color="auto"/>
              <w:right w:val="single" w:sz="8" w:space="0" w:color="000000"/>
            </w:tcBorders>
            <w:noWrap/>
            <w:tcMar>
              <w:left w:w="108" w:type="dxa"/>
              <w:right w:w="108" w:type="dxa"/>
            </w:tcMar>
            <w:vAlign w:val="center"/>
          </w:tcPr>
          <w:p w:rsidR="00B20F05" w:rsidRDefault="00310247">
            <w:pPr>
              <w:widowControl/>
              <w:spacing w:line="320" w:lineRule="exact"/>
              <w:jc w:val="center"/>
              <w:rPr>
                <w:rFonts w:ascii="宋体" w:hAnsi="宋体" w:cs="宋体"/>
                <w:bCs/>
                <w:sz w:val="24"/>
              </w:rPr>
            </w:pPr>
            <w:r>
              <w:rPr>
                <w:rFonts w:ascii="宋体" w:hAnsi="宋体" w:cs="宋体" w:hint="eastAsia"/>
                <w:bCs/>
                <w:sz w:val="24"/>
              </w:rPr>
              <w:t>0</w:t>
            </w:r>
          </w:p>
        </w:tc>
      </w:tr>
    </w:tbl>
    <w:p w:rsidR="00B20F05" w:rsidRDefault="00B20F05" w:rsidP="00310247">
      <w:pPr>
        <w:ind w:leftChars="200" w:left="420"/>
        <w:rPr>
          <w:rFonts w:ascii="仿宋_GB2312" w:eastAsia="仿宋_GB2312" w:hAnsi="仿宋_GB2312" w:cs="仿宋_GB2312"/>
          <w:b/>
          <w:bCs/>
          <w:sz w:val="32"/>
          <w:szCs w:val="32"/>
        </w:rPr>
      </w:pPr>
    </w:p>
    <w:p w:rsidR="00B20F05" w:rsidRDefault="00310247">
      <w:pPr>
        <w:numPr>
          <w:ilvl w:val="0"/>
          <w:numId w:val="1"/>
        </w:num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收到和处理政府信息公开申请情况</w:t>
      </w:r>
    </w:p>
    <w:tbl>
      <w:tblPr>
        <w:tblW w:w="9846"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05"/>
        <w:gridCol w:w="1005"/>
        <w:gridCol w:w="3100"/>
        <w:gridCol w:w="750"/>
        <w:gridCol w:w="700"/>
        <w:gridCol w:w="675"/>
        <w:gridCol w:w="800"/>
        <w:gridCol w:w="797"/>
        <w:gridCol w:w="702"/>
        <w:gridCol w:w="612"/>
      </w:tblGrid>
      <w:tr w:rsidR="00B20F05">
        <w:trPr>
          <w:trHeight w:val="430"/>
          <w:jc w:val="center"/>
        </w:trPr>
        <w:tc>
          <w:tcPr>
            <w:tcW w:w="4810"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kern w:val="0"/>
                <w:sz w:val="22"/>
              </w:rPr>
              <w:t>（本列数据的勾稽关系为：第一项加第二项之和，等于第三项加第四项之和）</w:t>
            </w:r>
          </w:p>
        </w:tc>
        <w:tc>
          <w:tcPr>
            <w:tcW w:w="5036"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kern w:val="0"/>
                <w:sz w:val="22"/>
              </w:rPr>
              <w:t>申请人情况</w:t>
            </w:r>
          </w:p>
        </w:tc>
      </w:tr>
      <w:tr w:rsidR="00B20F05">
        <w:trPr>
          <w:trHeight w:val="452"/>
          <w:jc w:val="center"/>
        </w:trPr>
        <w:tc>
          <w:tcPr>
            <w:tcW w:w="4810"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750" w:type="dxa"/>
            <w:vMerge w:val="restart"/>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kern w:val="0"/>
                <w:sz w:val="22"/>
              </w:rPr>
              <w:t>自然</w:t>
            </w:r>
            <w:r>
              <w:rPr>
                <w:rFonts w:ascii="宋体" w:hAnsi="宋体" w:cs="宋体" w:hint="eastAsia"/>
                <w:bCs/>
                <w:kern w:val="0"/>
                <w:sz w:val="22"/>
              </w:rPr>
              <w:lastRenderedPageBreak/>
              <w:t>人</w:t>
            </w:r>
          </w:p>
        </w:tc>
        <w:tc>
          <w:tcPr>
            <w:tcW w:w="3674"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kern w:val="0"/>
                <w:sz w:val="22"/>
              </w:rPr>
              <w:lastRenderedPageBreak/>
              <w:t>法人或其他组织</w:t>
            </w:r>
          </w:p>
        </w:tc>
        <w:tc>
          <w:tcPr>
            <w:tcW w:w="612"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kern w:val="0"/>
                <w:sz w:val="22"/>
              </w:rPr>
              <w:t>总</w:t>
            </w:r>
            <w:r>
              <w:rPr>
                <w:rFonts w:ascii="宋体" w:hAnsi="宋体" w:cs="宋体" w:hint="eastAsia"/>
                <w:bCs/>
                <w:kern w:val="0"/>
                <w:sz w:val="22"/>
              </w:rPr>
              <w:lastRenderedPageBreak/>
              <w:t>计</w:t>
            </w:r>
          </w:p>
        </w:tc>
      </w:tr>
      <w:tr w:rsidR="00B20F05">
        <w:trPr>
          <w:trHeight w:val="1277"/>
          <w:jc w:val="center"/>
        </w:trPr>
        <w:tc>
          <w:tcPr>
            <w:tcW w:w="4810"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750"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kern w:val="0"/>
                <w:sz w:val="22"/>
              </w:rPr>
              <w:t>商业企业</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kern w:val="0"/>
                <w:sz w:val="22"/>
              </w:rPr>
              <w:t>科研机构</w:t>
            </w:r>
          </w:p>
        </w:tc>
        <w:tc>
          <w:tcPr>
            <w:tcW w:w="800"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kern w:val="0"/>
                <w:sz w:val="22"/>
              </w:rPr>
              <w:t>社会公益组织</w:t>
            </w:r>
          </w:p>
        </w:tc>
        <w:tc>
          <w:tcPr>
            <w:tcW w:w="797"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kern w:val="0"/>
                <w:sz w:val="22"/>
              </w:rPr>
              <w:t>法律服务机构</w:t>
            </w:r>
          </w:p>
        </w:tc>
        <w:tc>
          <w:tcPr>
            <w:tcW w:w="702"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kern w:val="0"/>
                <w:sz w:val="22"/>
              </w:rPr>
              <w:t>其他</w:t>
            </w:r>
          </w:p>
        </w:tc>
        <w:tc>
          <w:tcPr>
            <w:tcW w:w="612" w:type="dxa"/>
            <w:vMerge/>
            <w:tcBorders>
              <w:top w:val="single" w:sz="8" w:space="0" w:color="auto"/>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r>
      <w:tr w:rsidR="00B20F05">
        <w:trPr>
          <w:trHeight w:val="344"/>
          <w:jc w:val="center"/>
        </w:trPr>
        <w:tc>
          <w:tcPr>
            <w:tcW w:w="4810"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hint="eastAsia"/>
                <w:bCs/>
                <w:kern w:val="0"/>
                <w:sz w:val="22"/>
              </w:rPr>
              <w:lastRenderedPageBreak/>
              <w:t>一、本年新收政府信息公开申请数量</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361"/>
          <w:jc w:val="center"/>
        </w:trPr>
        <w:tc>
          <w:tcPr>
            <w:tcW w:w="4810"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hint="eastAsia"/>
                <w:bCs/>
                <w:kern w:val="0"/>
                <w:sz w:val="22"/>
              </w:rPr>
              <w:t>二、上年结转政府信息公开申请数量</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378"/>
          <w:jc w:val="center"/>
        </w:trPr>
        <w:tc>
          <w:tcPr>
            <w:tcW w:w="705"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kern w:val="0"/>
                <w:sz w:val="22"/>
              </w:rPr>
              <w:t>三、本年度办理结果</w:t>
            </w:r>
          </w:p>
        </w:tc>
        <w:tc>
          <w:tcPr>
            <w:tcW w:w="4105" w:type="dxa"/>
            <w:gridSpan w:val="2"/>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hint="eastAsia"/>
                <w:bCs/>
                <w:kern w:val="0"/>
                <w:sz w:val="22"/>
              </w:rPr>
              <w:t>（一）予以公开</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4105" w:type="dxa"/>
            <w:gridSpan w:val="2"/>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hint="eastAsia"/>
                <w:bCs/>
                <w:kern w:val="0"/>
                <w:sz w:val="22"/>
              </w:rPr>
              <w:t>（二）部分公开（区分处理的，只计这一情形，不计其他情形）</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val="restart"/>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hint="eastAsia"/>
                <w:bCs/>
                <w:kern w:val="0"/>
                <w:sz w:val="22"/>
              </w:rPr>
              <w:t>（三）不予公开</w:t>
            </w: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1.</w:t>
            </w:r>
            <w:r>
              <w:rPr>
                <w:rFonts w:ascii="宋体" w:hAnsi="宋体" w:cs="宋体" w:hint="eastAsia"/>
                <w:bCs/>
                <w:kern w:val="0"/>
                <w:sz w:val="22"/>
              </w:rPr>
              <w:t>属于国家秘密</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2.</w:t>
            </w:r>
            <w:r>
              <w:rPr>
                <w:rFonts w:ascii="宋体" w:hAnsi="宋体" w:cs="宋体" w:hint="eastAsia"/>
                <w:bCs/>
                <w:kern w:val="0"/>
                <w:sz w:val="22"/>
              </w:rPr>
              <w:t>其他法律行政法规禁止公开</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3.</w:t>
            </w:r>
            <w:r>
              <w:rPr>
                <w:rFonts w:ascii="宋体" w:hAnsi="宋体" w:cs="宋体" w:hint="eastAsia"/>
                <w:bCs/>
                <w:kern w:val="0"/>
                <w:sz w:val="22"/>
              </w:rPr>
              <w:t>危及“三安全一稳定”</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4.</w:t>
            </w:r>
            <w:r>
              <w:rPr>
                <w:rFonts w:ascii="宋体" w:hAnsi="宋体" w:cs="宋体" w:hint="eastAsia"/>
                <w:bCs/>
                <w:kern w:val="0"/>
                <w:sz w:val="22"/>
              </w:rPr>
              <w:t>保护第三方合法权益</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5.</w:t>
            </w:r>
            <w:r>
              <w:rPr>
                <w:rFonts w:ascii="宋体" w:hAnsi="宋体" w:cs="宋体" w:hint="eastAsia"/>
                <w:bCs/>
                <w:kern w:val="0"/>
                <w:sz w:val="22"/>
              </w:rPr>
              <w:t>属于三类内部事务信息</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6.</w:t>
            </w:r>
            <w:r>
              <w:rPr>
                <w:rFonts w:ascii="宋体" w:hAnsi="宋体" w:cs="宋体" w:hint="eastAsia"/>
                <w:bCs/>
                <w:kern w:val="0"/>
                <w:sz w:val="22"/>
              </w:rPr>
              <w:t>属于四类过程性信息</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7.</w:t>
            </w:r>
            <w:r>
              <w:rPr>
                <w:rFonts w:ascii="宋体" w:hAnsi="宋体" w:cs="宋体" w:hint="eastAsia"/>
                <w:bCs/>
                <w:kern w:val="0"/>
                <w:sz w:val="22"/>
              </w:rPr>
              <w:t>属于行政执法案卷</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8.</w:t>
            </w:r>
            <w:r>
              <w:rPr>
                <w:rFonts w:ascii="宋体" w:hAnsi="宋体" w:cs="宋体" w:hint="eastAsia"/>
                <w:bCs/>
                <w:kern w:val="0"/>
                <w:sz w:val="22"/>
              </w:rPr>
              <w:t>属于行政查询事项</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val="restart"/>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hint="eastAsia"/>
                <w:bCs/>
                <w:kern w:val="0"/>
                <w:sz w:val="22"/>
              </w:rPr>
              <w:t>（四）无法提供</w:t>
            </w: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1.</w:t>
            </w:r>
            <w:r>
              <w:rPr>
                <w:rFonts w:ascii="宋体" w:hAnsi="宋体" w:cs="宋体" w:hint="eastAsia"/>
                <w:bCs/>
                <w:kern w:val="0"/>
                <w:sz w:val="22"/>
              </w:rPr>
              <w:t>本机关不掌握相关政府信息</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2.</w:t>
            </w:r>
            <w:r>
              <w:rPr>
                <w:rFonts w:ascii="宋体" w:hAnsi="宋体" w:cs="宋体" w:hint="eastAsia"/>
                <w:bCs/>
                <w:kern w:val="0"/>
                <w:sz w:val="22"/>
              </w:rPr>
              <w:t>没有现成信息需要另行制作</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3.</w:t>
            </w:r>
            <w:r>
              <w:rPr>
                <w:rFonts w:ascii="宋体" w:hAnsi="宋体" w:cs="宋体" w:hint="eastAsia"/>
                <w:bCs/>
                <w:kern w:val="0"/>
                <w:sz w:val="22"/>
              </w:rPr>
              <w:t>补正后申请内容仍不明确</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val="restart"/>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hint="eastAsia"/>
                <w:bCs/>
                <w:kern w:val="0"/>
                <w:sz w:val="22"/>
              </w:rPr>
              <w:t>（五）不予处理</w:t>
            </w: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1.</w:t>
            </w:r>
            <w:r>
              <w:rPr>
                <w:rFonts w:ascii="宋体" w:hAnsi="宋体" w:cs="宋体" w:hint="eastAsia"/>
                <w:bCs/>
                <w:kern w:val="0"/>
                <w:sz w:val="22"/>
              </w:rPr>
              <w:t>信访举报投诉类申请</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2.</w:t>
            </w:r>
            <w:r>
              <w:rPr>
                <w:rFonts w:ascii="宋体" w:hAnsi="宋体" w:cs="宋体" w:hint="eastAsia"/>
                <w:bCs/>
                <w:kern w:val="0"/>
                <w:sz w:val="22"/>
              </w:rPr>
              <w:t>重复申请</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3.</w:t>
            </w:r>
            <w:r>
              <w:rPr>
                <w:rFonts w:ascii="宋体" w:hAnsi="宋体" w:cs="宋体" w:hint="eastAsia"/>
                <w:bCs/>
                <w:kern w:val="0"/>
                <w:sz w:val="22"/>
              </w:rPr>
              <w:t>要求提供公开出版物</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4.</w:t>
            </w:r>
            <w:r>
              <w:rPr>
                <w:rFonts w:ascii="宋体" w:hAnsi="宋体" w:cs="宋体" w:hint="eastAsia"/>
                <w:bCs/>
                <w:kern w:val="0"/>
                <w:sz w:val="22"/>
              </w:rPr>
              <w:t>无正当理由大量反复申请</w:t>
            </w:r>
          </w:p>
        </w:tc>
        <w:tc>
          <w:tcPr>
            <w:tcW w:w="7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nil"/>
              <w:left w:val="single" w:sz="8" w:space="0" w:color="auto"/>
              <w:bottom w:val="single" w:sz="4"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tcBorders>
              <w:top w:val="nil"/>
              <w:left w:val="nil"/>
              <w:bottom w:val="single" w:sz="4" w:space="0" w:color="auto"/>
              <w:right w:val="single" w:sz="8"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3100" w:type="dxa"/>
            <w:tcBorders>
              <w:top w:val="nil"/>
              <w:left w:val="nil"/>
              <w:bottom w:val="single" w:sz="4" w:space="0" w:color="auto"/>
              <w:right w:val="single" w:sz="8"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bCs/>
                <w:kern w:val="0"/>
                <w:sz w:val="22"/>
              </w:rPr>
              <w:t>5.</w:t>
            </w:r>
            <w:r>
              <w:rPr>
                <w:rFonts w:ascii="宋体" w:hAnsi="宋体" w:cs="宋体" w:hint="eastAsia"/>
                <w:bCs/>
                <w:kern w:val="0"/>
                <w:sz w:val="22"/>
              </w:rPr>
              <w:t>要求行政机关确认或重新出具已获取信息</w:t>
            </w:r>
          </w:p>
        </w:tc>
        <w:tc>
          <w:tcPr>
            <w:tcW w:w="750" w:type="dxa"/>
            <w:tcBorders>
              <w:top w:val="nil"/>
              <w:left w:val="nil"/>
              <w:bottom w:val="single" w:sz="4"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4"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4"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4"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4"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4"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4"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F05" w:rsidRDefault="00B20F05">
            <w:pPr>
              <w:spacing w:line="400" w:lineRule="exact"/>
              <w:rPr>
                <w:rFonts w:ascii="宋体" w:hAnsi="宋体" w:cs="宋体"/>
                <w:bCs/>
                <w:sz w:val="22"/>
              </w:rPr>
            </w:pPr>
          </w:p>
        </w:tc>
        <w:tc>
          <w:tcPr>
            <w:tcW w:w="100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F05" w:rsidRDefault="00310247">
            <w:pPr>
              <w:widowControl/>
              <w:spacing w:line="400" w:lineRule="exact"/>
              <w:jc w:val="left"/>
              <w:rPr>
                <w:rFonts w:ascii="宋体" w:hAnsi="宋体" w:cs="宋体"/>
                <w:bCs/>
                <w:sz w:val="22"/>
              </w:rPr>
            </w:pPr>
            <w:r>
              <w:rPr>
                <w:rFonts w:ascii="宋体" w:hAnsi="宋体" w:cs="宋体" w:hint="eastAsia"/>
                <w:bCs/>
                <w:kern w:val="0"/>
                <w:sz w:val="22"/>
              </w:rPr>
              <w:t>（六）其他处理</w:t>
            </w:r>
          </w:p>
        </w:tc>
        <w:tc>
          <w:tcPr>
            <w:tcW w:w="31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F05" w:rsidRDefault="00310247">
            <w:pPr>
              <w:widowControl/>
              <w:spacing w:line="400" w:lineRule="exact"/>
              <w:jc w:val="left"/>
              <w:rPr>
                <w:rFonts w:ascii="宋体" w:hAnsi="宋体" w:cs="宋体"/>
                <w:bCs/>
                <w:kern w:val="0"/>
                <w:sz w:val="22"/>
              </w:rPr>
            </w:pPr>
            <w:r>
              <w:rPr>
                <w:rFonts w:ascii="宋体" w:hAnsi="宋体" w:cs="宋体"/>
                <w:bCs/>
                <w:kern w:val="0"/>
                <w:sz w:val="22"/>
              </w:rPr>
              <w:t>1.</w:t>
            </w:r>
            <w:r>
              <w:rPr>
                <w:rFonts w:ascii="宋体" w:hAnsi="宋体" w:cs="宋体" w:hint="eastAsia"/>
                <w:bCs/>
                <w:kern w:val="0"/>
                <w:sz w:val="22"/>
              </w:rPr>
              <w:t>申请人无正当理由逾期不补正、行政机关不再处理其政府信息公开申请</w:t>
            </w:r>
          </w:p>
        </w:tc>
        <w:tc>
          <w:tcPr>
            <w:tcW w:w="7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0F05" w:rsidRDefault="00310247">
            <w:pPr>
              <w:widowControl/>
              <w:spacing w:line="400" w:lineRule="exact"/>
              <w:jc w:val="center"/>
              <w:rPr>
                <w:rFonts w:ascii="宋体" w:hAnsi="宋体" w:cs="宋体"/>
                <w:bCs/>
                <w:sz w:val="22"/>
              </w:rPr>
            </w:pPr>
            <w:r>
              <w:rPr>
                <w:rFonts w:ascii="宋体" w:hAnsi="宋体" w:cs="宋体" w:hint="eastAsia"/>
                <w:bCs/>
                <w:sz w:val="22"/>
              </w:rPr>
              <w:t>0</w:t>
            </w:r>
          </w:p>
        </w:tc>
      </w:tr>
      <w:tr w:rsidR="00B20F05">
        <w:trPr>
          <w:trHeight w:val="165"/>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B20F05" w:rsidRDefault="00B20F05">
            <w:pPr>
              <w:widowControl/>
              <w:spacing w:line="400" w:lineRule="exact"/>
              <w:jc w:val="left"/>
              <w:rPr>
                <w:rFonts w:ascii="宋体" w:hAnsi="宋体" w:cs="宋体"/>
                <w:bCs/>
                <w:sz w:val="22"/>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B20F05" w:rsidRDefault="00B20F05">
            <w:pPr>
              <w:widowControl/>
              <w:spacing w:line="400" w:lineRule="exact"/>
              <w:jc w:val="left"/>
              <w:rPr>
                <w:rFonts w:ascii="宋体" w:hAnsi="宋体" w:cs="宋体"/>
                <w:bCs/>
                <w:sz w:val="22"/>
              </w:rPr>
            </w:pPr>
          </w:p>
        </w:tc>
        <w:tc>
          <w:tcPr>
            <w:tcW w:w="310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left"/>
              <w:rPr>
                <w:rFonts w:ascii="宋体" w:hAnsi="宋体" w:cs="宋体"/>
                <w:bCs/>
                <w:kern w:val="0"/>
                <w:sz w:val="22"/>
              </w:rPr>
            </w:pPr>
            <w:r>
              <w:rPr>
                <w:rFonts w:ascii="宋体" w:hAnsi="宋体" w:cs="宋体"/>
                <w:bCs/>
                <w:kern w:val="0"/>
                <w:sz w:val="22"/>
              </w:rPr>
              <w:t>2.</w:t>
            </w:r>
            <w:r>
              <w:rPr>
                <w:rFonts w:ascii="宋体" w:hAnsi="宋体" w:cs="宋体" w:hint="eastAsia"/>
                <w:bCs/>
                <w:kern w:val="0"/>
                <w:sz w:val="22"/>
              </w:rPr>
              <w:t>申请人逾期未按收费通知要求缴纳费用、行政机关不再处理其政府信息公开申请</w:t>
            </w:r>
          </w:p>
        </w:tc>
        <w:tc>
          <w:tcPr>
            <w:tcW w:w="75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0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75"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80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97"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02"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12"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r>
      <w:tr w:rsidR="00B20F05">
        <w:trPr>
          <w:trHeight w:val="165"/>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B20F05" w:rsidRDefault="00B20F05">
            <w:pPr>
              <w:widowControl/>
              <w:spacing w:line="400" w:lineRule="exact"/>
              <w:jc w:val="left"/>
              <w:rPr>
                <w:rFonts w:ascii="宋体" w:hAnsi="宋体" w:cs="宋体"/>
                <w:bCs/>
                <w:sz w:val="22"/>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B20F05" w:rsidRDefault="00B20F05">
            <w:pPr>
              <w:widowControl/>
              <w:spacing w:line="400" w:lineRule="exact"/>
              <w:jc w:val="left"/>
              <w:rPr>
                <w:rFonts w:ascii="宋体" w:hAnsi="宋体" w:cs="宋体"/>
                <w:bCs/>
                <w:sz w:val="22"/>
              </w:rPr>
            </w:pPr>
          </w:p>
        </w:tc>
        <w:tc>
          <w:tcPr>
            <w:tcW w:w="310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left"/>
              <w:rPr>
                <w:rFonts w:ascii="宋体" w:hAnsi="宋体" w:cs="宋体"/>
                <w:bCs/>
                <w:kern w:val="0"/>
                <w:sz w:val="22"/>
              </w:rPr>
            </w:pPr>
            <w:r>
              <w:rPr>
                <w:rFonts w:ascii="宋体" w:hAnsi="宋体" w:cs="宋体"/>
                <w:bCs/>
                <w:kern w:val="0"/>
                <w:sz w:val="22"/>
              </w:rPr>
              <w:t>3.</w:t>
            </w:r>
            <w:r>
              <w:rPr>
                <w:rFonts w:ascii="宋体" w:hAnsi="宋体" w:cs="宋体" w:hint="eastAsia"/>
                <w:bCs/>
                <w:kern w:val="0"/>
                <w:sz w:val="22"/>
              </w:rPr>
              <w:t>其他</w:t>
            </w:r>
          </w:p>
        </w:tc>
        <w:tc>
          <w:tcPr>
            <w:tcW w:w="75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0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75"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80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97"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02"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12"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r>
      <w:tr w:rsidR="00B20F05">
        <w:trPr>
          <w:trHeight w:val="165"/>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B20F05" w:rsidRDefault="00B20F05">
            <w:pPr>
              <w:spacing w:line="400" w:lineRule="exact"/>
              <w:rPr>
                <w:rFonts w:ascii="宋体" w:hAnsi="宋体" w:cs="宋体"/>
                <w:bCs/>
                <w:sz w:val="22"/>
              </w:rPr>
            </w:pPr>
          </w:p>
        </w:tc>
        <w:tc>
          <w:tcPr>
            <w:tcW w:w="4105" w:type="dxa"/>
            <w:gridSpan w:val="2"/>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left"/>
              <w:rPr>
                <w:rFonts w:ascii="宋体" w:hAnsi="宋体" w:cs="宋体"/>
                <w:bCs/>
                <w:kern w:val="0"/>
                <w:sz w:val="22"/>
              </w:rPr>
            </w:pPr>
            <w:r>
              <w:rPr>
                <w:rFonts w:ascii="宋体" w:hAnsi="宋体" w:cs="宋体" w:hint="eastAsia"/>
                <w:bCs/>
                <w:kern w:val="0"/>
                <w:sz w:val="22"/>
              </w:rPr>
              <w:t>（七）总计</w:t>
            </w:r>
          </w:p>
        </w:tc>
        <w:tc>
          <w:tcPr>
            <w:tcW w:w="75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0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75"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80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97"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02"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12"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r>
      <w:tr w:rsidR="00B20F05">
        <w:trPr>
          <w:trHeight w:val="165"/>
          <w:jc w:val="center"/>
        </w:trPr>
        <w:tc>
          <w:tcPr>
            <w:tcW w:w="4810" w:type="dxa"/>
            <w:gridSpan w:val="3"/>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left"/>
              <w:rPr>
                <w:rFonts w:ascii="宋体" w:hAnsi="宋体" w:cs="宋体"/>
                <w:bCs/>
                <w:kern w:val="0"/>
                <w:sz w:val="22"/>
              </w:rPr>
            </w:pPr>
            <w:r>
              <w:rPr>
                <w:rFonts w:ascii="宋体" w:hAnsi="宋体" w:cs="宋体" w:hint="eastAsia"/>
                <w:bCs/>
                <w:kern w:val="0"/>
                <w:sz w:val="22"/>
              </w:rPr>
              <w:lastRenderedPageBreak/>
              <w:t>四、结转下年度继续办理</w:t>
            </w:r>
          </w:p>
        </w:tc>
        <w:tc>
          <w:tcPr>
            <w:tcW w:w="75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0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75"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800"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97"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02"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12" w:type="dxa"/>
            <w:tcBorders>
              <w:top w:val="single" w:sz="4" w:space="0" w:color="auto"/>
              <w:left w:val="single" w:sz="4" w:space="0" w:color="auto"/>
              <w:bottom w:val="single" w:sz="4" w:space="0" w:color="auto"/>
              <w:right w:val="single" w:sz="4" w:space="0" w:color="auto"/>
            </w:tcBorders>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r>
    </w:tbl>
    <w:p w:rsidR="00B20F05" w:rsidRDefault="00310247">
      <w:pPr>
        <w:numPr>
          <w:ilvl w:val="0"/>
          <w:numId w:val="1"/>
        </w:num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政府信息公开行政复议、行政诉讼情况</w:t>
      </w:r>
    </w:p>
    <w:tbl>
      <w:tblPr>
        <w:tblW w:w="983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64"/>
        <w:gridCol w:w="662"/>
        <w:gridCol w:w="663"/>
        <w:gridCol w:w="662"/>
        <w:gridCol w:w="431"/>
        <w:gridCol w:w="932"/>
        <w:gridCol w:w="712"/>
        <w:gridCol w:w="669"/>
        <w:gridCol w:w="662"/>
        <w:gridCol w:w="450"/>
        <w:gridCol w:w="713"/>
        <w:gridCol w:w="737"/>
        <w:gridCol w:w="675"/>
        <w:gridCol w:w="663"/>
        <w:gridCol w:w="544"/>
      </w:tblGrid>
      <w:tr w:rsidR="00B20F05">
        <w:trPr>
          <w:jc w:val="center"/>
        </w:trPr>
        <w:tc>
          <w:tcPr>
            <w:tcW w:w="3082"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行政复议</w:t>
            </w:r>
          </w:p>
        </w:tc>
        <w:tc>
          <w:tcPr>
            <w:tcW w:w="675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行政诉讼</w:t>
            </w:r>
          </w:p>
        </w:tc>
      </w:tr>
      <w:tr w:rsidR="00B20F05">
        <w:trPr>
          <w:jc w:val="center"/>
        </w:trPr>
        <w:tc>
          <w:tcPr>
            <w:tcW w:w="66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结果维持</w:t>
            </w:r>
          </w:p>
        </w:tc>
        <w:tc>
          <w:tcPr>
            <w:tcW w:w="662" w:type="dxa"/>
            <w:vMerge w:val="restart"/>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结果纠正</w:t>
            </w:r>
          </w:p>
        </w:tc>
        <w:tc>
          <w:tcPr>
            <w:tcW w:w="663"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其他结果</w:t>
            </w:r>
          </w:p>
        </w:tc>
        <w:tc>
          <w:tcPr>
            <w:tcW w:w="662"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尚未审结</w:t>
            </w:r>
          </w:p>
        </w:tc>
        <w:tc>
          <w:tcPr>
            <w:tcW w:w="431"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总计</w:t>
            </w:r>
          </w:p>
        </w:tc>
        <w:tc>
          <w:tcPr>
            <w:tcW w:w="3425"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未经复议直接起诉</w:t>
            </w:r>
          </w:p>
        </w:tc>
        <w:tc>
          <w:tcPr>
            <w:tcW w:w="3332"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复议后起诉</w:t>
            </w:r>
          </w:p>
        </w:tc>
      </w:tr>
      <w:tr w:rsidR="00B20F05">
        <w:trPr>
          <w:jc w:val="center"/>
        </w:trPr>
        <w:tc>
          <w:tcPr>
            <w:tcW w:w="664" w:type="dxa"/>
            <w:vMerge/>
            <w:tcBorders>
              <w:top w:val="nil"/>
              <w:left w:val="single" w:sz="8" w:space="0" w:color="auto"/>
              <w:bottom w:val="single" w:sz="8" w:space="0" w:color="auto"/>
              <w:right w:val="single" w:sz="8" w:space="0" w:color="auto"/>
            </w:tcBorders>
            <w:tcMar>
              <w:left w:w="108" w:type="dxa"/>
              <w:right w:w="108" w:type="dxa"/>
            </w:tcMar>
            <w:vAlign w:val="center"/>
          </w:tcPr>
          <w:p w:rsidR="00B20F05" w:rsidRDefault="00B20F05">
            <w:pPr>
              <w:spacing w:line="320" w:lineRule="exact"/>
              <w:jc w:val="center"/>
              <w:rPr>
                <w:rFonts w:ascii="宋体" w:hAnsi="宋体" w:cs="宋体"/>
                <w:bCs/>
                <w:sz w:val="22"/>
              </w:rPr>
            </w:pPr>
          </w:p>
        </w:tc>
        <w:tc>
          <w:tcPr>
            <w:tcW w:w="662" w:type="dxa"/>
            <w:vMerge/>
            <w:tcBorders>
              <w:top w:val="nil"/>
              <w:left w:val="nil"/>
              <w:bottom w:val="single" w:sz="8" w:space="0" w:color="auto"/>
              <w:right w:val="single" w:sz="8" w:space="0" w:color="auto"/>
            </w:tcBorders>
            <w:tcMar>
              <w:left w:w="108" w:type="dxa"/>
              <w:right w:w="108" w:type="dxa"/>
            </w:tcMar>
            <w:vAlign w:val="center"/>
          </w:tcPr>
          <w:p w:rsidR="00B20F05" w:rsidRDefault="00B20F05">
            <w:pPr>
              <w:spacing w:line="320" w:lineRule="exact"/>
              <w:jc w:val="center"/>
              <w:rPr>
                <w:rFonts w:ascii="宋体" w:hAnsi="宋体" w:cs="宋体"/>
                <w:bCs/>
                <w:sz w:val="22"/>
              </w:rPr>
            </w:pPr>
          </w:p>
        </w:tc>
        <w:tc>
          <w:tcPr>
            <w:tcW w:w="663" w:type="dxa"/>
            <w:vMerge/>
            <w:tcBorders>
              <w:top w:val="single" w:sz="8" w:space="0" w:color="auto"/>
              <w:left w:val="nil"/>
              <w:bottom w:val="single" w:sz="8" w:space="0" w:color="auto"/>
              <w:right w:val="single" w:sz="8" w:space="0" w:color="auto"/>
            </w:tcBorders>
            <w:tcMar>
              <w:left w:w="108" w:type="dxa"/>
              <w:right w:w="108" w:type="dxa"/>
            </w:tcMar>
            <w:vAlign w:val="center"/>
          </w:tcPr>
          <w:p w:rsidR="00B20F05" w:rsidRDefault="00B20F05">
            <w:pPr>
              <w:spacing w:line="320" w:lineRule="exact"/>
              <w:jc w:val="center"/>
              <w:rPr>
                <w:rFonts w:ascii="宋体" w:hAnsi="宋体" w:cs="宋体"/>
                <w:bCs/>
                <w:sz w:val="22"/>
              </w:rPr>
            </w:pPr>
          </w:p>
        </w:tc>
        <w:tc>
          <w:tcPr>
            <w:tcW w:w="662" w:type="dxa"/>
            <w:vMerge/>
            <w:tcBorders>
              <w:top w:val="single" w:sz="8" w:space="0" w:color="auto"/>
              <w:left w:val="nil"/>
              <w:bottom w:val="single" w:sz="8" w:space="0" w:color="auto"/>
              <w:right w:val="single" w:sz="8" w:space="0" w:color="auto"/>
            </w:tcBorders>
            <w:tcMar>
              <w:left w:w="108" w:type="dxa"/>
              <w:right w:w="108" w:type="dxa"/>
            </w:tcMar>
            <w:vAlign w:val="center"/>
          </w:tcPr>
          <w:p w:rsidR="00B20F05" w:rsidRDefault="00B20F05">
            <w:pPr>
              <w:spacing w:line="320" w:lineRule="exact"/>
              <w:jc w:val="center"/>
              <w:rPr>
                <w:rFonts w:ascii="宋体" w:hAnsi="宋体" w:cs="宋体"/>
                <w:bCs/>
                <w:sz w:val="22"/>
              </w:rPr>
            </w:pPr>
          </w:p>
        </w:tc>
        <w:tc>
          <w:tcPr>
            <w:tcW w:w="431" w:type="dxa"/>
            <w:vMerge/>
            <w:tcBorders>
              <w:top w:val="single" w:sz="8" w:space="0" w:color="auto"/>
              <w:left w:val="nil"/>
              <w:bottom w:val="single" w:sz="8" w:space="0" w:color="auto"/>
              <w:right w:val="single" w:sz="8" w:space="0" w:color="auto"/>
            </w:tcBorders>
            <w:tcMar>
              <w:left w:w="108" w:type="dxa"/>
              <w:right w:w="108" w:type="dxa"/>
            </w:tcMar>
            <w:vAlign w:val="center"/>
          </w:tcPr>
          <w:p w:rsidR="00B20F05" w:rsidRDefault="00B20F05">
            <w:pPr>
              <w:spacing w:line="320" w:lineRule="exact"/>
              <w:jc w:val="center"/>
              <w:rPr>
                <w:rFonts w:ascii="宋体" w:hAnsi="宋体" w:cs="宋体"/>
                <w:bCs/>
                <w:sz w:val="22"/>
              </w:rPr>
            </w:pPr>
          </w:p>
        </w:tc>
        <w:tc>
          <w:tcPr>
            <w:tcW w:w="93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结果维持</w:t>
            </w:r>
          </w:p>
        </w:tc>
        <w:tc>
          <w:tcPr>
            <w:tcW w:w="7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结果纠正</w:t>
            </w:r>
          </w:p>
        </w:tc>
        <w:tc>
          <w:tcPr>
            <w:tcW w:w="669"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其他结果</w:t>
            </w:r>
          </w:p>
        </w:tc>
        <w:tc>
          <w:tcPr>
            <w:tcW w:w="662"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尚未审结</w:t>
            </w:r>
          </w:p>
        </w:tc>
        <w:tc>
          <w:tcPr>
            <w:tcW w:w="450"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总计</w:t>
            </w:r>
          </w:p>
        </w:tc>
        <w:tc>
          <w:tcPr>
            <w:tcW w:w="713"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结果维持</w:t>
            </w:r>
          </w:p>
        </w:tc>
        <w:tc>
          <w:tcPr>
            <w:tcW w:w="737"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结果纠正</w:t>
            </w:r>
          </w:p>
        </w:tc>
        <w:tc>
          <w:tcPr>
            <w:tcW w:w="675"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其他结果</w:t>
            </w:r>
          </w:p>
        </w:tc>
        <w:tc>
          <w:tcPr>
            <w:tcW w:w="663"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尚未审结</w:t>
            </w:r>
          </w:p>
        </w:tc>
        <w:tc>
          <w:tcPr>
            <w:tcW w:w="544" w:type="dxa"/>
            <w:tcBorders>
              <w:top w:val="single" w:sz="8" w:space="0" w:color="auto"/>
              <w:left w:val="nil"/>
              <w:bottom w:val="single" w:sz="8" w:space="0" w:color="auto"/>
              <w:right w:val="single" w:sz="8" w:space="0" w:color="auto"/>
            </w:tcBorders>
            <w:tcMar>
              <w:left w:w="108" w:type="dxa"/>
              <w:right w:w="108" w:type="dxa"/>
            </w:tcMar>
            <w:vAlign w:val="center"/>
          </w:tcPr>
          <w:p w:rsidR="00B20F05" w:rsidRDefault="00310247">
            <w:pPr>
              <w:widowControl/>
              <w:spacing w:line="320" w:lineRule="exact"/>
              <w:jc w:val="center"/>
              <w:rPr>
                <w:rFonts w:ascii="宋体" w:hAnsi="宋体" w:cs="宋体"/>
                <w:bCs/>
                <w:sz w:val="22"/>
              </w:rPr>
            </w:pPr>
            <w:r>
              <w:rPr>
                <w:rFonts w:ascii="宋体" w:hAnsi="宋体" w:cs="宋体" w:hint="eastAsia"/>
                <w:bCs/>
                <w:kern w:val="0"/>
                <w:sz w:val="22"/>
              </w:rPr>
              <w:t>总计</w:t>
            </w:r>
          </w:p>
        </w:tc>
      </w:tr>
      <w:tr w:rsidR="00B20F05">
        <w:trPr>
          <w:jc w:val="center"/>
        </w:trPr>
        <w:tc>
          <w:tcPr>
            <w:tcW w:w="664" w:type="dxa"/>
            <w:tcBorders>
              <w:top w:val="nil"/>
              <w:left w:val="single" w:sz="8" w:space="0" w:color="auto"/>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6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63"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6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431"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93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1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69"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62"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450"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13"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737"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663" w:type="dxa"/>
            <w:tcBorders>
              <w:top w:val="nil"/>
              <w:left w:val="nil"/>
              <w:bottom w:val="single" w:sz="8" w:space="0" w:color="auto"/>
              <w:right w:val="single" w:sz="8" w:space="0" w:color="auto"/>
            </w:tcBorders>
            <w:tcMar>
              <w:left w:w="108" w:type="dxa"/>
              <w:right w:w="108" w:type="dxa"/>
            </w:tcMar>
            <w:vAlign w:val="center"/>
          </w:tcPr>
          <w:p w:rsidR="00B20F05" w:rsidRDefault="00310247">
            <w:pPr>
              <w:widowControl/>
              <w:spacing w:line="400" w:lineRule="exact"/>
              <w:jc w:val="center"/>
              <w:rPr>
                <w:rFonts w:ascii="宋体" w:hAnsi="宋体" w:cs="宋体"/>
                <w:bCs/>
                <w:kern w:val="0"/>
                <w:sz w:val="22"/>
              </w:rPr>
            </w:pPr>
            <w:r>
              <w:rPr>
                <w:rFonts w:ascii="宋体" w:hAnsi="宋体" w:cs="宋体" w:hint="eastAsia"/>
                <w:bCs/>
                <w:sz w:val="22"/>
              </w:rPr>
              <w:t>0</w:t>
            </w:r>
          </w:p>
        </w:tc>
        <w:tc>
          <w:tcPr>
            <w:tcW w:w="544" w:type="dxa"/>
            <w:tcBorders>
              <w:top w:val="nil"/>
              <w:left w:val="nil"/>
              <w:bottom w:val="single" w:sz="8" w:space="0" w:color="auto"/>
              <w:right w:val="single" w:sz="8" w:space="0" w:color="auto"/>
            </w:tcBorders>
            <w:tcMar>
              <w:left w:w="108" w:type="dxa"/>
              <w:right w:w="108" w:type="dxa"/>
            </w:tcMar>
            <w:vAlign w:val="center"/>
          </w:tcPr>
          <w:p w:rsidR="00B20F05" w:rsidRDefault="00310247">
            <w:pPr>
              <w:spacing w:line="320" w:lineRule="exact"/>
              <w:jc w:val="center"/>
              <w:rPr>
                <w:rFonts w:ascii="宋体" w:hAnsi="宋体" w:cs="宋体"/>
                <w:bCs/>
                <w:sz w:val="22"/>
              </w:rPr>
            </w:pPr>
            <w:r>
              <w:rPr>
                <w:rFonts w:ascii="宋体" w:hAnsi="宋体" w:cs="宋体" w:hint="eastAsia"/>
                <w:bCs/>
                <w:sz w:val="22"/>
              </w:rPr>
              <w:t>0</w:t>
            </w:r>
          </w:p>
        </w:tc>
      </w:tr>
    </w:tbl>
    <w:p w:rsidR="00B20F05" w:rsidRDefault="00B20F05">
      <w:pPr>
        <w:widowControl/>
        <w:shd w:val="clear" w:color="auto" w:fill="FFFFFF"/>
        <w:ind w:firstLine="480"/>
        <w:rPr>
          <w:rFonts w:ascii="宋体" w:hAnsi="宋体" w:cs="宋体"/>
          <w:color w:val="333333"/>
          <w:kern w:val="0"/>
          <w:sz w:val="24"/>
        </w:rPr>
      </w:pPr>
    </w:p>
    <w:p w:rsidR="00B20F05" w:rsidRDefault="00310247">
      <w:pPr>
        <w:numPr>
          <w:ilvl w:val="0"/>
          <w:numId w:val="1"/>
        </w:numPr>
        <w:ind w:left="-13"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2022年工作安排</w:t>
      </w:r>
      <w:bookmarkStart w:id="0" w:name="_GoBack"/>
      <w:bookmarkEnd w:id="0"/>
    </w:p>
    <w:p w:rsidR="00B20F05" w:rsidRDefault="00310247">
      <w:pPr>
        <w:numPr>
          <w:ilvl w:val="0"/>
          <w:numId w:val="3"/>
        </w:num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主要目标</w:t>
      </w:r>
    </w:p>
    <w:p w:rsidR="00B20F05" w:rsidRDefault="0031024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是严格落实重点领域公开要求，贯彻落实省、市、区政务信息公开最新部署，抓好年度预决算公开规范化，推进重大建设项目领域公开标准化。二是加强政策解读工作，牢牢把握推动高质量发展的根本要求，聚焦上级重大决策部署，推动政府工作报告确定的重点工作落地实施，及时发布权威信息，深入开展解读，不断释放积极信号，为推动政策贯彻落实营造良好环境。三是及时回应群众关切，切实做好“两微一端”新媒体平台，充分发挥政务网站、微信等渠道灵活性强、交互性好的优势，不断提升平台交互体验。</w:t>
      </w:r>
    </w:p>
    <w:p w:rsidR="00B20F05" w:rsidRDefault="00310247">
      <w:pPr>
        <w:numPr>
          <w:ilvl w:val="0"/>
          <w:numId w:val="3"/>
        </w:num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重点举措</w:t>
      </w:r>
    </w:p>
    <w:p w:rsidR="00B20F05" w:rsidRDefault="0031024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在今后工作中继续按照区政务信息公开要求，加大公开力度，进一步加强对公众关注度高的政府信息的梳理，推行政务公开与依法治理相结合逐步扩大公开信息的覆盖面，确保公开信息的完整性和准确性。加强政府信息公开业务学习和培训，提升官方微信运营水平，实现透明务实、高效便民</w:t>
      </w:r>
      <w:r>
        <w:rPr>
          <w:rFonts w:ascii="仿宋_GB2312" w:eastAsia="仿宋_GB2312" w:hAnsi="仿宋_GB2312" w:cs="仿宋_GB2312" w:hint="eastAsia"/>
          <w:color w:val="000000" w:themeColor="text1"/>
          <w:sz w:val="32"/>
          <w:szCs w:val="32"/>
        </w:rPr>
        <w:lastRenderedPageBreak/>
        <w:t>的政务服务。</w:t>
      </w:r>
    </w:p>
    <w:p w:rsidR="00B20F05" w:rsidRDefault="00310247">
      <w:pPr>
        <w:numPr>
          <w:ilvl w:val="0"/>
          <w:numId w:val="1"/>
        </w:numPr>
        <w:ind w:left="-13"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其他需要报告的事项</w:t>
      </w:r>
    </w:p>
    <w:p w:rsidR="00B20F05" w:rsidRPr="00310247" w:rsidRDefault="00310247" w:rsidP="00310247">
      <w:pPr>
        <w:ind w:firstLineChars="200" w:firstLine="640"/>
        <w:rPr>
          <w:rFonts w:ascii="仿宋_GB2312" w:eastAsia="仿宋_GB2312"/>
          <w:color w:val="000000" w:themeColor="text1"/>
          <w:sz w:val="32"/>
          <w:szCs w:val="32"/>
        </w:rPr>
      </w:pPr>
      <w:r w:rsidRPr="00310247">
        <w:rPr>
          <w:rFonts w:ascii="仿宋_GB2312" w:eastAsia="仿宋_GB2312" w:hint="eastAsia"/>
          <w:color w:val="000000" w:themeColor="text1"/>
          <w:sz w:val="32"/>
          <w:szCs w:val="32"/>
        </w:rPr>
        <w:t xml:space="preserve">无其他需要报告的事项，无政府信息公开信息处理费收取情况。  </w:t>
      </w:r>
    </w:p>
    <w:p w:rsidR="00B20F05" w:rsidRDefault="00B20F05">
      <w:pPr>
        <w:rPr>
          <w:color w:val="000000" w:themeColor="text1"/>
        </w:rPr>
      </w:pPr>
    </w:p>
    <w:p w:rsidR="00B20F05" w:rsidRDefault="00B20F05">
      <w:pPr>
        <w:rPr>
          <w:color w:val="000000" w:themeColor="text1"/>
        </w:rPr>
      </w:pPr>
    </w:p>
    <w:p w:rsidR="00B20F05" w:rsidRDefault="00B20F05">
      <w:pPr>
        <w:rPr>
          <w:color w:val="000000" w:themeColor="text1"/>
        </w:rPr>
      </w:pPr>
    </w:p>
    <w:p w:rsidR="00B20F05" w:rsidRDefault="00B20F05">
      <w:pPr>
        <w:jc w:val="right"/>
        <w:rPr>
          <w:color w:val="000000" w:themeColor="text1"/>
        </w:rPr>
      </w:pPr>
    </w:p>
    <w:p w:rsidR="00B20F05" w:rsidRDefault="00310247">
      <w:pPr>
        <w:ind w:firstLineChars="200" w:firstLine="640"/>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舟山市定海区交通运输局 </w:t>
      </w:r>
    </w:p>
    <w:p w:rsidR="00B20F05" w:rsidRDefault="00310247">
      <w:pPr>
        <w:ind w:firstLineChars="200" w:firstLine="640"/>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2022年1月13日</w:t>
      </w:r>
    </w:p>
    <w:p w:rsidR="00B20F05" w:rsidRDefault="00B20F05">
      <w:pPr>
        <w:ind w:firstLineChars="200" w:firstLine="640"/>
        <w:jc w:val="right"/>
        <w:rPr>
          <w:rFonts w:ascii="仿宋_GB2312" w:eastAsia="仿宋_GB2312" w:hAnsi="仿宋_GB2312" w:cs="仿宋_GB2312"/>
          <w:color w:val="000000" w:themeColor="text1"/>
          <w:sz w:val="32"/>
          <w:szCs w:val="32"/>
        </w:rPr>
      </w:pPr>
    </w:p>
    <w:sectPr w:rsidR="00B20F05" w:rsidSect="00B20F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AD708E"/>
    <w:multiLevelType w:val="singleLevel"/>
    <w:tmpl w:val="F4AD708E"/>
    <w:lvl w:ilvl="0">
      <w:start w:val="1"/>
      <w:numFmt w:val="chineseCounting"/>
      <w:suff w:val="nothing"/>
      <w:lvlText w:val="%1、"/>
      <w:lvlJc w:val="left"/>
      <w:pPr>
        <w:ind w:left="0" w:firstLine="420"/>
      </w:pPr>
      <w:rPr>
        <w:rFonts w:hint="eastAsia"/>
      </w:rPr>
    </w:lvl>
  </w:abstractNum>
  <w:abstractNum w:abstractNumId="1">
    <w:nsid w:val="0F0B74E5"/>
    <w:multiLevelType w:val="singleLevel"/>
    <w:tmpl w:val="0F0B74E5"/>
    <w:lvl w:ilvl="0">
      <w:start w:val="1"/>
      <w:numFmt w:val="chineseCounting"/>
      <w:suff w:val="nothing"/>
      <w:lvlText w:val="（%1）"/>
      <w:lvlJc w:val="left"/>
      <w:pPr>
        <w:ind w:left="0" w:firstLine="40"/>
      </w:pPr>
      <w:rPr>
        <w:rFonts w:hint="eastAsia"/>
      </w:rPr>
    </w:lvl>
  </w:abstractNum>
  <w:abstractNum w:abstractNumId="2">
    <w:nsid w:val="14D30538"/>
    <w:multiLevelType w:val="singleLevel"/>
    <w:tmpl w:val="14D30538"/>
    <w:lvl w:ilvl="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1AF6A4E"/>
    <w:rsid w:val="00310247"/>
    <w:rsid w:val="00B20F05"/>
    <w:rsid w:val="00DB7F01"/>
    <w:rsid w:val="00E767FD"/>
    <w:rsid w:val="07B106BF"/>
    <w:rsid w:val="0D4234D4"/>
    <w:rsid w:val="11605611"/>
    <w:rsid w:val="170C35D1"/>
    <w:rsid w:val="19825FA8"/>
    <w:rsid w:val="1B3779B3"/>
    <w:rsid w:val="1E07349F"/>
    <w:rsid w:val="215A658E"/>
    <w:rsid w:val="260A1966"/>
    <w:rsid w:val="278305C0"/>
    <w:rsid w:val="2D8B7F3A"/>
    <w:rsid w:val="30A94BC0"/>
    <w:rsid w:val="3D0C682B"/>
    <w:rsid w:val="3F010A0E"/>
    <w:rsid w:val="3FAF77ED"/>
    <w:rsid w:val="48444CEA"/>
    <w:rsid w:val="51AF6A4E"/>
    <w:rsid w:val="52010D56"/>
    <w:rsid w:val="52FC2EC2"/>
    <w:rsid w:val="5A790497"/>
    <w:rsid w:val="61A04E11"/>
    <w:rsid w:val="635B7675"/>
    <w:rsid w:val="638D15D8"/>
    <w:rsid w:val="652114D8"/>
    <w:rsid w:val="698B77C6"/>
    <w:rsid w:val="69977B09"/>
    <w:rsid w:val="69C20B20"/>
    <w:rsid w:val="6D7A5BA7"/>
    <w:rsid w:val="70B07280"/>
    <w:rsid w:val="7A29417E"/>
    <w:rsid w:val="7C8B2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F0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20F05"/>
    <w:pPr>
      <w:widowControl/>
      <w:spacing w:before="100" w:beforeAutospacing="1" w:after="100" w:afterAutospacing="1"/>
      <w:jc w:val="left"/>
    </w:pPr>
    <w:rPr>
      <w:rFonts w:ascii="宋体" w:hAnsi="宋体" w:cs="宋体"/>
      <w:kern w:val="0"/>
      <w:sz w:val="24"/>
      <w:szCs w:val="24"/>
    </w:rPr>
  </w:style>
  <w:style w:type="character" w:styleId="a4">
    <w:name w:val="Strong"/>
    <w:basedOn w:val="a0"/>
    <w:qFormat/>
    <w:rsid w:val="00B20F05"/>
    <w:rPr>
      <w:rFonts w:cs="Times New Roman"/>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Tiffany1392084871</dc:creator>
  <cp:lastModifiedBy>文印1</cp:lastModifiedBy>
  <cp:revision>3</cp:revision>
  <dcterms:created xsi:type="dcterms:W3CDTF">2021-01-07T06:21:00Z</dcterms:created>
  <dcterms:modified xsi:type="dcterms:W3CDTF">2022-08-08T03:45:00Z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5BDD06D3EF7249D0B4B480651332A326</vt:lpwstr>
  </property>
</Properties>
</file>