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7" w:rsidRDefault="00F75275">
      <w:pPr>
        <w:snapToGrid w:val="0"/>
        <w:spacing w:line="600" w:lineRule="exact"/>
        <w:ind w:firstLineChars="300" w:firstLine="1200"/>
        <w:jc w:val="center"/>
        <w:rPr>
          <w:rFonts w:eastAsia="仿宋_GB2312" w:cs="方正仿宋_GBK"/>
          <w:sz w:val="32"/>
          <w:szCs w:val="32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007C37" w:rsidRDefault="00007C37">
      <w:pPr>
        <w:snapToGrid w:val="0"/>
        <w:spacing w:line="600" w:lineRule="exact"/>
        <w:rPr>
          <w:rFonts w:eastAsia="仿宋_GB2312" w:cs="方正仿宋_GBK"/>
          <w:sz w:val="32"/>
          <w:szCs w:val="32"/>
        </w:rPr>
      </w:pPr>
    </w:p>
    <w:p w:rsidR="00007C37" w:rsidRDefault="00F75275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Fonts w:ascii="黑体" w:eastAsia="黑体" w:hAnsi="黑体" w:cs="Arial"/>
          <w:b/>
          <w:color w:val="000000"/>
          <w:sz w:val="32"/>
          <w:szCs w:val="32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一、总体情况</w:t>
      </w:r>
    </w:p>
    <w:p w:rsidR="00007C37" w:rsidRDefault="00F75275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Arial" w:hAnsi="Arial" w:cs="Arial" w:hint="eastAsia"/>
          <w:color w:val="000000"/>
          <w:shd w:val="clear" w:color="auto" w:fill="FFFFFF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今年以来，我街道认真贯彻落实省、市、区关于加强政务公开的工作要求，把政务公开与街道各项工作联系起来，切实优化公开内容，拓展公开途径，创新公开形式，完善公开制度，全面深入推进政务公开工作，并取得了一定成效，现将工作总结如下：</w:t>
      </w:r>
    </w:p>
    <w:p w:rsidR="00007C37" w:rsidRDefault="00F75275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（一）加强组织领导，落实管理责任</w:t>
      </w:r>
    </w:p>
    <w:p w:rsidR="00007C37" w:rsidRDefault="00F75275">
      <w:pPr>
        <w:tabs>
          <w:tab w:val="left" w:pos="4320"/>
        </w:tabs>
        <w:spacing w:line="52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年来，街道高度重视政务公开工作，把政务公开工作列入重要议事日程，结合年度工作同部署。明确分管领导及具体责任人，形成了分管领导具体抓，各科室负责人抓落实，经办人员具体承办的三级责任体系，为全面推动政务公开提供了有力的组织保证。</w:t>
      </w:r>
    </w:p>
    <w:p w:rsidR="00007C37" w:rsidRDefault="00F75275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（二）加强制度建设，严格程序把关</w:t>
      </w:r>
    </w:p>
    <w:p w:rsidR="00007C37" w:rsidRDefault="00F75275">
      <w:pPr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街道严格按照“先审查、后公开”的原则，建立“信息采集、审核、发布及更新制度”，做到有信息发布，必先经过相关领导审核，</w:t>
      </w:r>
      <w:r>
        <w:rPr>
          <w:rFonts w:ascii="仿宋_GB2312" w:eastAsia="仿宋_GB2312" w:hAnsi="ˎ̥" w:hint="eastAsia"/>
          <w:sz w:val="32"/>
          <w:szCs w:val="32"/>
        </w:rPr>
        <w:t>明确公开内容。同时，严格落实政务公开监督保障工作，进一步完善政府信息公开保密审查机制，实行责任落实与督促检查，切实加强政府信息公开的监</w:t>
      </w:r>
      <w:r>
        <w:rPr>
          <w:rFonts w:ascii="仿宋_GB2312" w:eastAsia="仿宋_GB2312" w:hAnsi="ˎ̥" w:hint="eastAsia"/>
          <w:sz w:val="32"/>
          <w:szCs w:val="32"/>
        </w:rPr>
        <w:t>督和保障。重要信息的审核实施，由分管副书记牵头联合审查，决定是否公示，加强政务公开监督。</w:t>
      </w:r>
      <w:bookmarkStart w:id="0" w:name="_GoBack"/>
      <w:bookmarkEnd w:id="0"/>
    </w:p>
    <w:p w:rsidR="00007C37" w:rsidRDefault="00F75275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（三）完善服务平台，提高信息公开水平</w:t>
      </w:r>
    </w:p>
    <w:p w:rsidR="00007C37" w:rsidRDefault="00F75275">
      <w:pPr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一方面通过电子媒体进行政务公开，充分利用“城东街道门户网站”、“幸福城东”微信公众号等，使其作为街道和</w:t>
      </w:r>
      <w:r>
        <w:rPr>
          <w:rFonts w:ascii="仿宋_GB2312" w:eastAsia="仿宋_GB2312" w:hAnsi="ˎ̥" w:hint="eastAsia"/>
          <w:sz w:val="32"/>
          <w:szCs w:val="32"/>
        </w:rPr>
        <w:lastRenderedPageBreak/>
        <w:t>辖区内社区政府信息公开的主要平台。二是运用传统模式，如政务公开栏、政务公开窗、政务公开墙等。街道设立政务公开栏，把办事人员形象照、各项规章制度等一一进行公开，并在门口醒目处设置了办事处示意图，便利群众查询。</w:t>
      </w:r>
    </w:p>
    <w:p w:rsidR="00007C37" w:rsidRDefault="00F75275">
      <w:pPr>
        <w:spacing w:line="560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截至</w:t>
      </w:r>
      <w:r>
        <w:rPr>
          <w:rFonts w:ascii="仿宋_GB2312" w:eastAsia="仿宋_GB2312" w:hAnsi="ˎ̥" w:hint="eastAsia"/>
          <w:sz w:val="32"/>
          <w:szCs w:val="32"/>
        </w:rPr>
        <w:t>12</w:t>
      </w:r>
      <w:r>
        <w:rPr>
          <w:rFonts w:ascii="仿宋_GB2312" w:eastAsia="仿宋_GB2312" w:hAnsi="ˎ̥" w:hint="eastAsia"/>
          <w:sz w:val="32"/>
          <w:szCs w:val="32"/>
        </w:rPr>
        <w:t>月底，街道已在网站上主动公开政务</w:t>
      </w:r>
      <w:r>
        <w:rPr>
          <w:rFonts w:ascii="仿宋_GB2312" w:eastAsia="仿宋_GB2312" w:hAnsi="ˎ̥" w:hint="eastAsia"/>
          <w:sz w:val="32"/>
          <w:szCs w:val="32"/>
        </w:rPr>
        <w:t>112</w:t>
      </w:r>
      <w:r>
        <w:rPr>
          <w:rFonts w:ascii="仿宋_GB2312" w:eastAsia="仿宋_GB2312" w:hAnsi="ˎ̥" w:hint="eastAsia"/>
          <w:sz w:val="32"/>
          <w:szCs w:val="32"/>
        </w:rPr>
        <w:t>条，其中机构概况类信息</w:t>
      </w:r>
      <w:r>
        <w:rPr>
          <w:rFonts w:ascii="仿宋_GB2312" w:eastAsia="仿宋_GB2312" w:hAnsi="ˎ̥" w:hint="eastAsia"/>
          <w:sz w:val="32"/>
          <w:szCs w:val="32"/>
        </w:rPr>
        <w:t>1</w:t>
      </w:r>
      <w:r>
        <w:rPr>
          <w:rFonts w:ascii="仿宋_GB2312" w:eastAsia="仿宋_GB2312" w:hAnsi="ˎ̥" w:hint="eastAsia"/>
          <w:sz w:val="32"/>
          <w:szCs w:val="32"/>
        </w:rPr>
        <w:t>条、法规公文类信息</w:t>
      </w:r>
      <w:r>
        <w:rPr>
          <w:rFonts w:ascii="仿宋_GB2312" w:eastAsia="仿宋_GB2312" w:hAnsi="ˎ̥" w:hint="eastAsia"/>
          <w:sz w:val="32"/>
          <w:szCs w:val="32"/>
        </w:rPr>
        <w:t>67</w:t>
      </w:r>
      <w:r>
        <w:rPr>
          <w:rFonts w:ascii="仿宋_GB2312" w:eastAsia="仿宋_GB2312" w:hAnsi="ˎ̥" w:hint="eastAsia"/>
          <w:sz w:val="32"/>
          <w:szCs w:val="32"/>
        </w:rPr>
        <w:t>条、规划计划类信息</w:t>
      </w:r>
      <w:r>
        <w:rPr>
          <w:rFonts w:ascii="仿宋_GB2312" w:eastAsia="仿宋_GB2312" w:hAnsi="ˎ̥" w:hint="eastAsia"/>
          <w:sz w:val="32"/>
          <w:szCs w:val="32"/>
        </w:rPr>
        <w:t>2</w:t>
      </w:r>
      <w:r>
        <w:rPr>
          <w:rFonts w:ascii="仿宋_GB2312" w:eastAsia="仿宋_GB2312" w:hAnsi="ˎ̥" w:hint="eastAsia"/>
          <w:sz w:val="32"/>
          <w:szCs w:val="32"/>
        </w:rPr>
        <w:t>条、工作信息</w:t>
      </w:r>
      <w:r>
        <w:rPr>
          <w:rFonts w:ascii="仿宋_GB2312" w:eastAsia="仿宋_GB2312" w:hAnsi="ˎ̥" w:hint="eastAsia"/>
          <w:sz w:val="32"/>
          <w:szCs w:val="32"/>
        </w:rPr>
        <w:t>33</w:t>
      </w:r>
      <w:r>
        <w:rPr>
          <w:rFonts w:ascii="仿宋_GB2312" w:eastAsia="仿宋_GB2312" w:hAnsi="ˎ̥" w:hint="eastAsia"/>
          <w:sz w:val="32"/>
          <w:szCs w:val="32"/>
        </w:rPr>
        <w:t>条、人事信息</w:t>
      </w:r>
      <w:r>
        <w:rPr>
          <w:rFonts w:ascii="仿宋_GB2312" w:eastAsia="仿宋_GB2312" w:hAnsi="ˎ̥" w:hint="eastAsia"/>
          <w:sz w:val="32"/>
          <w:szCs w:val="32"/>
        </w:rPr>
        <w:t>5</w:t>
      </w:r>
      <w:r>
        <w:rPr>
          <w:rFonts w:ascii="仿宋_GB2312" w:eastAsia="仿宋_GB2312" w:hAnsi="ˎ̥" w:hint="eastAsia"/>
          <w:sz w:val="32"/>
          <w:szCs w:val="32"/>
        </w:rPr>
        <w:t>条、财政信息</w:t>
      </w:r>
      <w:r>
        <w:rPr>
          <w:rFonts w:ascii="仿宋_GB2312" w:eastAsia="仿宋_GB2312" w:hAnsi="ˎ̥" w:hint="eastAsia"/>
          <w:sz w:val="32"/>
          <w:szCs w:val="32"/>
        </w:rPr>
        <w:t>4</w:t>
      </w:r>
      <w:r>
        <w:rPr>
          <w:rFonts w:ascii="仿宋_GB2312" w:eastAsia="仿宋_GB2312" w:hAnsi="ˎ̥" w:hint="eastAsia"/>
          <w:sz w:val="32"/>
          <w:szCs w:val="32"/>
        </w:rPr>
        <w:t>条。街道</w:t>
      </w:r>
      <w:r>
        <w:rPr>
          <w:rFonts w:ascii="仿宋_GB2312" w:eastAsia="仿宋_GB2312" w:hAnsi="ˎ̥" w:hint="eastAsia"/>
          <w:sz w:val="32"/>
          <w:szCs w:val="32"/>
        </w:rPr>
        <w:t>2021</w:t>
      </w:r>
      <w:r>
        <w:rPr>
          <w:rFonts w:ascii="仿宋_GB2312" w:eastAsia="仿宋_GB2312" w:hAnsi="ˎ̥" w:hint="eastAsia"/>
          <w:sz w:val="32"/>
          <w:szCs w:val="32"/>
        </w:rPr>
        <w:t>年度共受理政务公开申请</w:t>
      </w:r>
      <w:r>
        <w:rPr>
          <w:rFonts w:ascii="仿宋_GB2312" w:eastAsia="仿宋_GB2312" w:hAnsi="ˎ̥" w:hint="eastAsia"/>
          <w:sz w:val="32"/>
          <w:szCs w:val="32"/>
        </w:rPr>
        <w:t>0</w:t>
      </w:r>
      <w:r>
        <w:rPr>
          <w:rFonts w:ascii="仿宋_GB2312" w:eastAsia="仿宋_GB2312" w:hAnsi="ˎ̥" w:hint="eastAsia"/>
          <w:sz w:val="32"/>
          <w:szCs w:val="32"/>
        </w:rPr>
        <w:t>件；发生针对本街道有关政务公开事务的行政复议案及行政诉讼案均为</w:t>
      </w:r>
      <w:r>
        <w:rPr>
          <w:rFonts w:ascii="仿宋_GB2312" w:eastAsia="仿宋_GB2312" w:hAnsi="ˎ̥" w:hint="eastAsia"/>
          <w:sz w:val="32"/>
          <w:szCs w:val="32"/>
        </w:rPr>
        <w:t>0</w:t>
      </w:r>
      <w:r>
        <w:rPr>
          <w:rFonts w:ascii="仿宋_GB2312" w:eastAsia="仿宋_GB2312" w:hAnsi="ˎ̥" w:hint="eastAsia"/>
          <w:sz w:val="32"/>
          <w:szCs w:val="32"/>
        </w:rPr>
        <w:t>宗。</w:t>
      </w:r>
    </w:p>
    <w:p w:rsidR="00007C37" w:rsidRDefault="00007C37">
      <w:pPr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007C37" w:rsidRDefault="00F75275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Style w:val="a6"/>
          <w:rFonts w:ascii="黑体" w:eastAsia="黑体" w:hAnsi="黑体" w:cs="Arial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007C37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第二十条第（一）项</w:t>
            </w:r>
          </w:p>
        </w:tc>
      </w:tr>
      <w:tr w:rsidR="00007C37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007C37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第二十条第（五）项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第二十条第（八）项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007C37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</w:tbl>
    <w:p w:rsidR="00007C37" w:rsidRDefault="00007C37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Style w:val="a6"/>
          <w:rFonts w:ascii="黑体" w:eastAsia="黑体" w:hAnsi="黑体" w:cs="Arial"/>
          <w:b w:val="0"/>
          <w:color w:val="000000"/>
          <w:sz w:val="32"/>
          <w:szCs w:val="32"/>
          <w:shd w:val="clear" w:color="auto" w:fill="FFFFFF"/>
        </w:rPr>
      </w:pPr>
    </w:p>
    <w:p w:rsidR="00007C37" w:rsidRDefault="00F75275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Style w:val="a6"/>
          <w:rFonts w:ascii="黑体" w:eastAsia="黑体" w:hAnsi="黑体" w:cs="Arial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007C37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007C37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007C37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007C37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 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  <w:r>
              <w:rPr>
                <w:rFonts w:ascii="宋体" w:hAnsi="宋体" w:cs="宋体"/>
                <w:bCs/>
                <w:kern w:val="0"/>
                <w:sz w:val="22"/>
              </w:rPr>
              <w:t> 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007C37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007C37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007C37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007C37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007C37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  <w:tr w:rsidR="00007C37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37" w:rsidRDefault="00F7527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7" w:rsidRDefault="00F75275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007C37" w:rsidRDefault="00007C37"/>
    <w:p w:rsidR="00007C37" w:rsidRDefault="00007C37">
      <w:pPr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007C37" w:rsidRDefault="00F75275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Style w:val="a6"/>
          <w:rFonts w:ascii="黑体" w:eastAsia="黑体" w:hAnsi="黑体" w:cs="Arial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007C37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行政诉讼</w:t>
            </w:r>
          </w:p>
        </w:tc>
      </w:tr>
      <w:tr w:rsidR="00007C37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复议后起诉</w:t>
            </w:r>
          </w:p>
        </w:tc>
      </w:tr>
      <w:tr w:rsidR="00007C37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007C37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007C37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07C37" w:rsidRDefault="00F7527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</w:tbl>
    <w:p w:rsidR="00007C37" w:rsidRDefault="00007C37">
      <w:pPr>
        <w:ind w:firstLineChars="200" w:firstLine="482"/>
        <w:jc w:val="left"/>
        <w:rPr>
          <w:rStyle w:val="a6"/>
          <w:rFonts w:ascii="Arial" w:hAnsi="Arial" w:cs="Arial"/>
          <w:color w:val="000000"/>
          <w:sz w:val="24"/>
          <w:shd w:val="clear" w:color="auto" w:fill="FFFFFF"/>
        </w:rPr>
      </w:pPr>
    </w:p>
    <w:p w:rsidR="00007C37" w:rsidRDefault="00F75275">
      <w:pPr>
        <w:pStyle w:val="a5"/>
        <w:widowControl/>
        <w:shd w:val="clear" w:color="auto" w:fill="FFFFFF"/>
        <w:spacing w:beforeAutospacing="0" w:afterAutospacing="0" w:line="540" w:lineRule="atLeast"/>
        <w:ind w:firstLineChars="200" w:firstLine="640"/>
        <w:textAlignment w:val="top"/>
        <w:rPr>
          <w:rStyle w:val="a6"/>
          <w:rFonts w:ascii="黑体" w:eastAsia="黑体" w:hAnsi="黑体" w:cs="Arial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五、存在</w:t>
      </w: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t>的主要问题及改进情况</w:t>
      </w:r>
    </w:p>
    <w:p w:rsidR="00007C37" w:rsidRDefault="00F75275">
      <w:pPr>
        <w:tabs>
          <w:tab w:val="left" w:pos="4320"/>
        </w:tabs>
        <w:spacing w:line="520" w:lineRule="exact"/>
        <w:ind w:firstLineChars="200" w:firstLine="640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一是公开信息量不大，上报信息不准时。街道各科室对政务公开信息上报不够及时，内容上也缺乏多样性，未能更好的涵盖街道各个口子的相关工作。二是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政务公开形式相对单一。目前政务公开的主要渠道是网站，其他公开形式采用较少，公开渠道单一，不能保证最大限度地满足社会公众获取政务的需求。</w:t>
      </w:r>
    </w:p>
    <w:p w:rsidR="00007C37" w:rsidRDefault="00F75275">
      <w:pPr>
        <w:spacing w:line="520" w:lineRule="exact"/>
        <w:ind w:firstLineChars="200" w:firstLine="640"/>
        <w:rPr>
          <w:rFonts w:ascii="仿宋" w:eastAsia="仿宋" w:hAnsi="仿宋" w:cs="仿宋"/>
          <w:sz w:val="28"/>
          <w:szCs w:val="36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接下来，我街道将从以下几方面着手改进，连续深化政务公开工作：一是转变观念，提高服务意识。实现公共服务新观念，把群众视为服务对象，向社会公众供应优质、高效的信息服务，保障公民知情权和决策参与权的实现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进一步丰富信息公</w:t>
      </w:r>
      <w:r>
        <w:rPr>
          <w:rFonts w:ascii="仿宋_GB2312" w:eastAsia="仿宋_GB2312" w:hint="eastAsia"/>
          <w:sz w:val="32"/>
          <w:szCs w:val="32"/>
        </w:rPr>
        <w:t>开方式，努力做到灵活多样。本着规范、实用、简便、易行的原则，通过开设网站、会议、公益广告、台账等多种便于公众知晓的方式进行公开。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三是连续抓好政务公开的规范完善。对公开的形式、内容、时限、程序、监督和运行机制等都要进一步规范，完善政务公开工作制度，全面提升政务公开的档次和水平。</w:t>
      </w:r>
    </w:p>
    <w:p w:rsidR="00F75275" w:rsidRDefault="00F75275" w:rsidP="00F75275">
      <w:pPr>
        <w:pStyle w:val="a5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Arial" w:hint="eastAsia"/>
          <w:b w:val="0"/>
          <w:color w:val="000000"/>
          <w:sz w:val="32"/>
          <w:szCs w:val="32"/>
          <w:shd w:val="clear" w:color="auto" w:fill="FFFFFF"/>
        </w:rPr>
        <w:lastRenderedPageBreak/>
        <w:t>六、其他需要报告的事项</w:t>
      </w:r>
    </w:p>
    <w:p w:rsidR="00007C37" w:rsidRPr="00F75275" w:rsidRDefault="00F75275" w:rsidP="00F75275">
      <w:pPr>
        <w:pStyle w:val="a5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ascii="黑体" w:eastAsia="黑体" w:hAnsi="黑体" w:cs="Arial"/>
          <w:b/>
          <w:sz w:val="32"/>
          <w:szCs w:val="32"/>
          <w:shd w:val="clear" w:color="auto" w:fill="FFFFFF"/>
        </w:rPr>
      </w:pPr>
      <w:r w:rsidRPr="00F75275">
        <w:rPr>
          <w:rFonts w:ascii="仿宋_GB2312" w:eastAsia="仿宋_GB2312" w:hAnsi="宋体" w:cs="宋体" w:hint="eastAsia"/>
          <w:sz w:val="32"/>
          <w:szCs w:val="32"/>
        </w:rPr>
        <w:t>无其他需要报告的事项，无政府信息公开信息处理费收取情况。</w:t>
      </w:r>
    </w:p>
    <w:sectPr w:rsidR="00007C37" w:rsidRPr="00F75275" w:rsidSect="00007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9E5"/>
    <w:rsid w:val="00007C37"/>
    <w:rsid w:val="000709A7"/>
    <w:rsid w:val="001059E5"/>
    <w:rsid w:val="002B1BBD"/>
    <w:rsid w:val="00372870"/>
    <w:rsid w:val="00474D38"/>
    <w:rsid w:val="0069719D"/>
    <w:rsid w:val="00701AED"/>
    <w:rsid w:val="00820136"/>
    <w:rsid w:val="00A5359D"/>
    <w:rsid w:val="00BB6FD5"/>
    <w:rsid w:val="00C10BD5"/>
    <w:rsid w:val="00D475D5"/>
    <w:rsid w:val="00E9751B"/>
    <w:rsid w:val="00F75275"/>
    <w:rsid w:val="14811792"/>
    <w:rsid w:val="3BD5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0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0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07C37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6">
    <w:name w:val="Strong"/>
    <w:basedOn w:val="a0"/>
    <w:qFormat/>
    <w:rsid w:val="00007C37"/>
    <w:rPr>
      <w:rFonts w:cs="Times New Roman"/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007C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0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贺燕凤</dc:creator>
  <cp:lastModifiedBy>文印1</cp:lastModifiedBy>
  <cp:revision>17</cp:revision>
  <dcterms:created xsi:type="dcterms:W3CDTF">2022-01-10T07:03:00Z</dcterms:created>
  <dcterms:modified xsi:type="dcterms:W3CDTF">2022-07-21T08:46:00Z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