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rPr>
          <w:rFonts w:hint="eastAsia"/>
        </w:rPr>
        <w:t>一、</w:t>
      </w:r>
      <w:r>
        <w:t>项目概述</w:t>
      </w:r>
    </w:p>
    <w:p>
      <w:pPr>
        <w:spacing w:line="360" w:lineRule="auto"/>
        <w:ind w:firstLine="480" w:firstLineChars="200"/>
        <w:jc w:val="left"/>
        <w:rPr>
          <w:rFonts w:ascii="宋体" w:hAnsi="宋体" w:cs="宋体"/>
          <w:sz w:val="24"/>
        </w:rPr>
      </w:pPr>
      <w:r>
        <w:rPr>
          <w:rFonts w:ascii="宋体" w:hAnsi="宋体" w:cs="宋体"/>
          <w:sz w:val="24"/>
        </w:rPr>
        <w:t>1、项目背景</w:t>
      </w:r>
    </w:p>
    <w:p>
      <w:pPr>
        <w:spacing w:line="360" w:lineRule="auto"/>
        <w:ind w:firstLine="480" w:firstLineChars="200"/>
        <w:jc w:val="left"/>
        <w:rPr>
          <w:rFonts w:ascii="宋体" w:hAnsi="宋体" w:cs="宋体"/>
          <w:sz w:val="24"/>
        </w:rPr>
      </w:pPr>
      <w:r>
        <w:rPr>
          <w:rFonts w:ascii="宋体" w:hAnsi="宋体" w:cs="宋体"/>
          <w:sz w:val="24"/>
        </w:rPr>
        <w:t>本次搬迁的仪器设备数量大种类多，且包含大型精密仪器设备。为保证搬迁工作具有较高的专业性、较好的服务质量，确保固定资产折损率降至最低，并有效控制搬迁周期，要求具有专业搬迁资质及能力的供应商提供整个搬迁项目的所有设备等物资的搬迁工作。</w:t>
      </w:r>
    </w:p>
    <w:p>
      <w:pPr>
        <w:spacing w:line="360" w:lineRule="auto"/>
        <w:ind w:firstLine="480" w:firstLineChars="200"/>
        <w:jc w:val="left"/>
        <w:rPr>
          <w:rFonts w:ascii="宋体" w:hAnsi="宋体" w:cs="宋体"/>
          <w:sz w:val="24"/>
        </w:rPr>
      </w:pPr>
      <w:r>
        <w:rPr>
          <w:rFonts w:ascii="宋体" w:hAnsi="宋体" w:cs="宋体"/>
          <w:sz w:val="24"/>
        </w:rPr>
        <w:t>2、项目总体要求</w:t>
      </w:r>
    </w:p>
    <w:p>
      <w:pPr>
        <w:spacing w:line="360" w:lineRule="auto"/>
        <w:ind w:firstLine="480" w:firstLineChars="200"/>
        <w:jc w:val="left"/>
        <w:rPr>
          <w:rFonts w:ascii="宋体" w:hAnsi="宋体" w:cs="宋体"/>
          <w:sz w:val="24"/>
        </w:rPr>
      </w:pPr>
      <w:r>
        <w:rPr>
          <w:rFonts w:ascii="宋体" w:hAnsi="宋体" w:cs="宋体"/>
          <w:sz w:val="24"/>
        </w:rPr>
        <w:t>设备的搬迁为“交钥匙工程”，</w:t>
      </w:r>
      <w:r>
        <w:rPr>
          <w:rFonts w:hint="eastAsia" w:ascii="宋体" w:hAnsi="宋体" w:cs="宋体"/>
          <w:sz w:val="24"/>
        </w:rPr>
        <w:t>成交人</w:t>
      </w:r>
      <w:r>
        <w:rPr>
          <w:rFonts w:ascii="宋体" w:hAnsi="宋体" w:cs="宋体"/>
          <w:sz w:val="24"/>
        </w:rPr>
        <w:t>应提供拆卸、运输、安装、调试等服务，确保搬迁工作完成后设备能恢复到原使用状态。</w:t>
      </w:r>
    </w:p>
    <w:p>
      <w:pPr>
        <w:spacing w:line="360" w:lineRule="auto"/>
        <w:ind w:firstLine="480" w:firstLineChars="200"/>
        <w:jc w:val="left"/>
        <w:rPr>
          <w:rFonts w:ascii="宋体" w:hAnsi="宋体" w:cs="宋体"/>
          <w:sz w:val="24"/>
        </w:rPr>
      </w:pPr>
      <w:r>
        <w:rPr>
          <w:rFonts w:hint="eastAsia" w:ascii="宋体" w:hAnsi="宋体" w:cs="宋体"/>
          <w:sz w:val="24"/>
        </w:rPr>
        <w:t>2.1</w:t>
      </w:r>
      <w:r>
        <w:rPr>
          <w:rFonts w:ascii="宋体" w:hAnsi="宋体" w:cs="宋体"/>
          <w:sz w:val="24"/>
        </w:rPr>
        <w:t>保证搬迁过程中所有仪器设备等物资不得遗失、损毁等；</w:t>
      </w:r>
    </w:p>
    <w:p>
      <w:pPr>
        <w:spacing w:line="360" w:lineRule="auto"/>
        <w:ind w:firstLine="480" w:firstLineChars="200"/>
        <w:jc w:val="left"/>
        <w:rPr>
          <w:rFonts w:ascii="宋体" w:hAnsi="宋体" w:cs="宋体"/>
          <w:sz w:val="24"/>
        </w:rPr>
      </w:pPr>
      <w:r>
        <w:rPr>
          <w:rFonts w:hint="eastAsia" w:ascii="宋体" w:hAnsi="宋体" w:cs="宋体"/>
          <w:sz w:val="24"/>
        </w:rPr>
        <w:t>2.2</w:t>
      </w:r>
      <w:r>
        <w:rPr>
          <w:rFonts w:ascii="宋体" w:hAnsi="宋体" w:cs="宋体"/>
          <w:sz w:val="24"/>
        </w:rPr>
        <w:t>对于多组件仪器设备须保证各个组件的完整性，不得发生组件的遗失、损毁等；</w:t>
      </w:r>
    </w:p>
    <w:p>
      <w:pPr>
        <w:spacing w:line="360" w:lineRule="auto"/>
        <w:ind w:firstLine="480" w:firstLineChars="200"/>
        <w:jc w:val="left"/>
        <w:rPr>
          <w:rFonts w:ascii="宋体" w:hAnsi="宋体" w:cs="宋体"/>
          <w:sz w:val="24"/>
        </w:rPr>
      </w:pPr>
      <w:r>
        <w:rPr>
          <w:rFonts w:hint="eastAsia" w:ascii="宋体" w:hAnsi="宋体" w:cs="宋体"/>
          <w:sz w:val="24"/>
        </w:rPr>
        <w:t>2.3</w:t>
      </w:r>
      <w:r>
        <w:rPr>
          <w:rFonts w:ascii="宋体" w:hAnsi="宋体" w:cs="宋体"/>
          <w:sz w:val="24"/>
        </w:rPr>
        <w:t>确保所有搬迁仪器设备的性能状态前后一致；</w:t>
      </w:r>
    </w:p>
    <w:p>
      <w:pPr>
        <w:spacing w:line="360" w:lineRule="auto"/>
        <w:ind w:firstLine="480" w:firstLineChars="200"/>
        <w:jc w:val="left"/>
        <w:rPr>
          <w:rFonts w:ascii="宋体" w:hAnsi="宋体" w:cs="宋体"/>
          <w:sz w:val="24"/>
        </w:rPr>
      </w:pPr>
      <w:r>
        <w:rPr>
          <w:rFonts w:hint="eastAsia" w:ascii="宋体" w:hAnsi="宋体" w:cs="宋体"/>
          <w:sz w:val="24"/>
        </w:rPr>
        <w:t>2.4</w:t>
      </w:r>
      <w:r>
        <w:rPr>
          <w:rFonts w:ascii="宋体" w:hAnsi="宋体" w:cs="宋体"/>
          <w:sz w:val="24"/>
        </w:rPr>
        <w:t>整个搬迁项目必须遵守安全第一的原则，遵守工程建设安全生产有关管理规定及相关安全管理制度，严格按安全操作规程进行施工，并随时接受行业安全检查人员依法实施的监督检查，采取必要的安全防护措施， 消除事故隐患。</w:t>
      </w:r>
    </w:p>
    <w:p>
      <w:pPr>
        <w:spacing w:line="360" w:lineRule="auto"/>
        <w:ind w:firstLine="480" w:firstLineChars="200"/>
        <w:jc w:val="left"/>
        <w:rPr>
          <w:rFonts w:ascii="宋体" w:hAnsi="宋体" w:cs="宋体"/>
          <w:sz w:val="24"/>
        </w:rPr>
      </w:pPr>
      <w:r>
        <w:rPr>
          <w:rFonts w:ascii="宋体" w:hAnsi="宋体" w:cs="宋体"/>
          <w:sz w:val="24"/>
        </w:rPr>
        <w:t>3、搬迁地址</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迁出地址：</w:t>
      </w:r>
      <w:r>
        <w:rPr>
          <w:rFonts w:hint="eastAsia" w:ascii="宋体" w:hAnsi="宋体" w:cs="宋体"/>
          <w:sz w:val="24"/>
          <w:lang w:eastAsia="zh-CN"/>
        </w:rPr>
        <w:t>西园新村</w:t>
      </w:r>
      <w:r>
        <w:rPr>
          <w:rFonts w:hint="eastAsia" w:ascii="宋体" w:hAnsi="宋体" w:cs="宋体"/>
          <w:sz w:val="24"/>
          <w:lang w:val="en-US" w:eastAsia="zh-CN"/>
        </w:rPr>
        <w:t>43幢A楼和岑港街道晶园新村326号</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迁入地址：</w:t>
      </w:r>
      <w:r>
        <w:rPr>
          <w:rFonts w:hint="eastAsia" w:ascii="宋体" w:hAnsi="宋体" w:cs="宋体"/>
          <w:sz w:val="24"/>
          <w:lang w:eastAsia="zh-CN"/>
        </w:rPr>
        <w:t>文化路</w:t>
      </w:r>
      <w:r>
        <w:rPr>
          <w:rFonts w:hint="eastAsia" w:ascii="宋体" w:hAnsi="宋体" w:cs="宋体"/>
          <w:sz w:val="24"/>
          <w:lang w:val="en-US" w:eastAsia="zh-CN"/>
        </w:rPr>
        <w:t>64号</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ascii="宋体" w:hAnsi="宋体" w:cs="宋体"/>
          <w:sz w:val="24"/>
        </w:rPr>
        <w:t>4、搬迁物资明细</w:t>
      </w:r>
    </w:p>
    <w:p>
      <w:pPr>
        <w:spacing w:line="360" w:lineRule="auto"/>
        <w:ind w:firstLine="480" w:firstLineChars="200"/>
        <w:jc w:val="left"/>
        <w:rPr>
          <w:rFonts w:ascii="宋体" w:hAnsi="宋体" w:cs="宋体"/>
          <w:sz w:val="24"/>
        </w:rPr>
      </w:pPr>
      <w:r>
        <w:rPr>
          <w:rFonts w:hint="eastAsia" w:ascii="宋体" w:hAnsi="宋体" w:cs="宋体"/>
          <w:sz w:val="24"/>
        </w:rPr>
        <w:t>4.1</w:t>
      </w:r>
      <w:r>
        <w:rPr>
          <w:rFonts w:ascii="宋体" w:hAnsi="宋体" w:cs="宋体"/>
          <w:sz w:val="24"/>
        </w:rPr>
        <w:t>仪器设备：主要包括各类分析仪器、配套检测设备/装置等，详见附件</w:t>
      </w:r>
      <w:r>
        <w:rPr>
          <w:rFonts w:hint="eastAsia" w:ascii="宋体" w:hAnsi="宋体" w:cs="宋体"/>
          <w:sz w:val="24"/>
        </w:rPr>
        <w:t>清单</w:t>
      </w:r>
      <w:r>
        <w:rPr>
          <w:rFonts w:ascii="宋体" w:hAnsi="宋体" w:cs="宋体"/>
          <w:sz w:val="24"/>
        </w:rPr>
        <w:t>。</w:t>
      </w:r>
    </w:p>
    <w:p>
      <w:pPr>
        <w:spacing w:line="360" w:lineRule="auto"/>
        <w:ind w:firstLine="480" w:firstLineChars="200"/>
        <w:jc w:val="left"/>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4.2</w:t>
      </w:r>
      <w:r>
        <w:rPr>
          <w:rFonts w:ascii="宋体" w:hAnsi="宋体" w:cs="宋体"/>
          <w:sz w:val="24"/>
        </w:rPr>
        <w:t>搬迁现场少量小设备及物资因遗漏未列入附表，也包含在本次搬迁范围以内，</w:t>
      </w:r>
      <w:r>
        <w:rPr>
          <w:rFonts w:hint="eastAsia" w:ascii="宋体" w:hAnsi="宋体" w:cs="宋体"/>
          <w:sz w:val="24"/>
        </w:rPr>
        <w:t>供应商</w:t>
      </w:r>
      <w:r>
        <w:rPr>
          <w:rFonts w:ascii="宋体" w:hAnsi="宋体" w:cs="宋体"/>
          <w:sz w:val="24"/>
        </w:rPr>
        <w:t>须对此进行书面承诺，否则按无效磋商处理。</w:t>
      </w:r>
    </w:p>
    <w:p>
      <w:pPr>
        <w:pStyle w:val="2"/>
      </w:pPr>
      <w:r>
        <w:rPr>
          <w:rFonts w:hint="eastAsia"/>
        </w:rPr>
        <w:t>二、具体服务要求</w:t>
      </w:r>
    </w:p>
    <w:p>
      <w:pPr>
        <w:tabs>
          <w:tab w:val="left" w:pos="445"/>
        </w:tabs>
        <w:spacing w:line="480" w:lineRule="auto"/>
        <w:ind w:firstLine="482" w:firstLineChars="200"/>
        <w:rPr>
          <w:rFonts w:ascii="宋体" w:hAnsi="宋体"/>
          <w:sz w:val="24"/>
        </w:rPr>
      </w:pPr>
      <w:r>
        <w:rPr>
          <w:rFonts w:ascii="宋体" w:hAnsi="宋体"/>
          <w:b/>
          <w:bCs/>
          <w:sz w:val="24"/>
        </w:rPr>
        <w:t>1、搬迁技术要求</w:t>
      </w:r>
    </w:p>
    <w:p>
      <w:pPr>
        <w:tabs>
          <w:tab w:val="left" w:pos="445"/>
        </w:tabs>
        <w:spacing w:line="480" w:lineRule="auto"/>
        <w:ind w:firstLine="480" w:firstLineChars="200"/>
        <w:rPr>
          <w:rFonts w:ascii="宋体" w:hAnsi="宋体"/>
          <w:sz w:val="24"/>
        </w:rPr>
      </w:pPr>
      <w:r>
        <w:rPr>
          <w:rFonts w:ascii="宋体" w:hAnsi="宋体"/>
          <w:sz w:val="24"/>
        </w:rPr>
        <w:t>1.1</w:t>
      </w:r>
      <w:r>
        <w:rPr>
          <w:rFonts w:ascii="宋体" w:hAnsi="宋体"/>
          <w:spacing w:val="1"/>
          <w:sz w:val="24"/>
        </w:rPr>
        <w:t>供应商需按采购要求完成搬迁前设备测试、性能确认、仪器设备拆卸、装箱、运输、安装恢复调试以及其他资产的拆装、运输、实验室门/窗/</w:t>
      </w:r>
      <w:r>
        <w:rPr>
          <w:rFonts w:ascii="宋体" w:hAnsi="宋体"/>
          <w:sz w:val="24"/>
        </w:rPr>
        <w:t>墙拆除、复原等工作，提供所有搬迁用包装材料（包括易损仪器的单独包装），并确保整个搬迁过程所有资产的安全。</w:t>
      </w:r>
    </w:p>
    <w:p>
      <w:pPr>
        <w:tabs>
          <w:tab w:val="left" w:pos="445"/>
        </w:tabs>
        <w:spacing w:line="480" w:lineRule="auto"/>
        <w:ind w:firstLine="476" w:firstLineChars="200"/>
        <w:rPr>
          <w:rFonts w:ascii="宋体" w:hAnsi="宋体"/>
          <w:sz w:val="24"/>
        </w:rPr>
      </w:pPr>
      <w:r>
        <w:rPr>
          <w:rFonts w:hint="eastAsia" w:ascii="宋体" w:hAnsi="宋体"/>
          <w:spacing w:val="-1"/>
          <w:sz w:val="24"/>
        </w:rPr>
        <w:t>1.2</w:t>
      </w:r>
      <w:r>
        <w:rPr>
          <w:rFonts w:ascii="宋体" w:hAnsi="宋体"/>
          <w:spacing w:val="-1"/>
          <w:sz w:val="24"/>
        </w:rPr>
        <w:t>供应商应提供拆卸、运输、安装、调试、性能确认等服务，确保搬迁工作完成后设备能恢复到原使用状</w:t>
      </w:r>
      <w:r>
        <w:rPr>
          <w:rFonts w:ascii="宋体" w:hAnsi="宋体"/>
          <w:sz w:val="24"/>
        </w:rPr>
        <w:t>态。</w:t>
      </w:r>
    </w:p>
    <w:p>
      <w:pPr>
        <w:tabs>
          <w:tab w:val="left" w:pos="445"/>
        </w:tabs>
        <w:spacing w:line="480" w:lineRule="auto"/>
        <w:ind w:firstLine="476" w:firstLineChars="200"/>
        <w:rPr>
          <w:rFonts w:ascii="宋体" w:hAnsi="宋体"/>
          <w:sz w:val="24"/>
        </w:rPr>
      </w:pPr>
      <w:r>
        <w:rPr>
          <w:rFonts w:hint="eastAsia" w:ascii="宋体" w:hAnsi="宋体"/>
          <w:spacing w:val="-1"/>
          <w:sz w:val="24"/>
        </w:rPr>
        <w:t>1.3</w:t>
      </w:r>
      <w:r>
        <w:rPr>
          <w:rFonts w:ascii="宋体" w:hAnsi="宋体"/>
          <w:spacing w:val="-1"/>
          <w:sz w:val="24"/>
        </w:rPr>
        <w:t>设备拆卸前性能确认：供应商安排在实验设备仪器拆卸前进行性能、功能测试，测试完毕后供应商专业拆装工程师与采购人确定人员确认设备拆卸前性能、功能指标，填写设备状态确认单(双方签字。确认单由供应商</w:t>
      </w:r>
      <w:r>
        <w:rPr>
          <w:rFonts w:ascii="宋体" w:hAnsi="宋体"/>
          <w:sz w:val="24"/>
        </w:rPr>
        <w:t>提供，采购人认可）。</w:t>
      </w:r>
    </w:p>
    <w:p>
      <w:pPr>
        <w:tabs>
          <w:tab w:val="left" w:pos="445"/>
        </w:tabs>
        <w:spacing w:line="480" w:lineRule="auto"/>
        <w:ind w:firstLine="476" w:firstLineChars="200"/>
        <w:rPr>
          <w:rFonts w:ascii="宋体" w:hAnsi="宋体"/>
          <w:sz w:val="24"/>
        </w:rPr>
      </w:pPr>
      <w:r>
        <w:rPr>
          <w:rFonts w:hint="eastAsia" w:ascii="宋体" w:hAnsi="宋体"/>
          <w:spacing w:val="-1"/>
          <w:sz w:val="24"/>
        </w:rPr>
        <w:t>1.4</w:t>
      </w:r>
      <w:r>
        <w:rPr>
          <w:rFonts w:ascii="宋体" w:hAnsi="宋体"/>
          <w:spacing w:val="-1"/>
          <w:sz w:val="24"/>
        </w:rPr>
        <w:t>设备拆卸及包装：供应商专业拆装工程师负责设备拆卸，设备完成拆卸后，供应商专业拆装工程师及采购人</w:t>
      </w:r>
      <w:r>
        <w:rPr>
          <w:rFonts w:ascii="宋体" w:hAnsi="宋体"/>
          <w:sz w:val="24"/>
        </w:rPr>
        <w:t>确定人员按照设备的运输安全要求进行包装，并对需要装箱的物品装箱打包，采购人确定人员填写装箱单，装箱单放在包装箱内，包装箱外填写并张贴填物品标识单（供应商提供），并对货运提出运送过程中的具体要求，货运协助进行装车工作，三方填写装车单（供应商提供）。搬迁项目中使用的包装材料应符合环保要求，并且集中放置明确标识且配备消防器材；搬迁项目作业期间应保证包装材料的干燥，且在运输过程中做好防水处理工作；废弃的包装材料及填充物应当天清理干净，且保证作业现场的整洁；搬迁项目作业期间包装箱应与仪器设备的尺寸相匹配。</w:t>
      </w:r>
    </w:p>
    <w:p>
      <w:pPr>
        <w:pStyle w:val="5"/>
        <w:spacing w:after="0" w:line="480" w:lineRule="auto"/>
        <w:ind w:firstLine="480" w:firstLineChars="200"/>
        <w:rPr>
          <w:rFonts w:ascii="宋体" w:hAnsi="宋体"/>
          <w:strike/>
          <w:sz w:val="24"/>
        </w:rPr>
      </w:pPr>
      <w:r>
        <w:rPr>
          <w:rFonts w:ascii="宋体" w:hAnsi="宋体"/>
          <w:sz w:val="24"/>
        </w:rPr>
        <w:t>1.5设备运输：设备运输严格按照专业人员与采购人提出的运输要求进行货运工作，用于装运货物的车辆状况须良好，具有搬运资质、通行许可、保险有效、年检合格，须提供相应证明材料（如行驶证复印件、保险单复印件、年检证明材料复印件等）。</w:t>
      </w:r>
    </w:p>
    <w:p>
      <w:pPr>
        <w:pStyle w:val="5"/>
        <w:spacing w:after="0" w:line="480" w:lineRule="auto"/>
        <w:ind w:firstLine="480" w:firstLineChars="200"/>
        <w:rPr>
          <w:rFonts w:ascii="宋体" w:hAnsi="宋体"/>
          <w:sz w:val="24"/>
        </w:rPr>
      </w:pPr>
      <w:r>
        <w:rPr>
          <w:rFonts w:ascii="宋体" w:hAnsi="宋体"/>
          <w:sz w:val="24"/>
        </w:rPr>
        <w:t>成交人必须随车配备足够的搬运工。运输车辆随带防雨、固定和隔离器材。按搬运计划搬运。如客户需临时调整或补充搬运计划，搬运企业车辆调度、管理人员调拨应急车辆，满足客户搬运需求。搬运企业应协助客户做好搬运物品数量的估算、搬运计划的制订和现场管理。专门安排经验丰富的车辆调度人员进行现场调度，相关负责人现场办公，搬运高峰期增加调度、现场管理人员。有异常信息第一时间向客户搬运现场管理负责人报告,不得隐瞒、虚报,不得向客户提供虚假信息。仪器设备装车摆放合理，装车不能超载。每天搬运次数以客户实际需要为主安排，满足搬运需求。物品交接后，物品搬运单必须请接收人员签字。</w:t>
      </w:r>
    </w:p>
    <w:p>
      <w:pPr>
        <w:pStyle w:val="5"/>
        <w:spacing w:after="0" w:line="480" w:lineRule="auto"/>
        <w:ind w:firstLine="480" w:firstLineChars="200"/>
        <w:rPr>
          <w:rFonts w:ascii="宋体" w:hAnsi="宋体"/>
          <w:sz w:val="24"/>
        </w:rPr>
      </w:pPr>
      <w:r>
        <w:rPr>
          <w:rFonts w:ascii="宋体" w:hAnsi="宋体"/>
          <w:sz w:val="24"/>
        </w:rPr>
        <w:t>1.</w:t>
      </w:r>
      <w:r>
        <w:rPr>
          <w:rFonts w:hint="eastAsia" w:ascii="宋体" w:hAnsi="宋体"/>
          <w:sz w:val="24"/>
        </w:rPr>
        <w:t>6</w:t>
      </w:r>
      <w:r>
        <w:rPr>
          <w:rFonts w:ascii="宋体" w:hAnsi="宋体"/>
          <w:sz w:val="24"/>
        </w:rPr>
        <w:t>目的地确认：搬迁至目的地后，供应商专业拆装工程师根据货物包装及运输过程确认货运服务质量，若供应商专业拆装服务工程师确认设备在运输过程中发生损坏，应立即向采购人提出，并在装车单“运输验收情况”一栏中说明设备损坏情况。若供应商专业拆装工程师确认设备部件状态良好，在此基础上进行设备的安装与调试，并确保恢复到拆卸前的状态，如无法恢复设备到拆卸前的状态，由供应商负责。</w:t>
      </w:r>
    </w:p>
    <w:p>
      <w:pPr>
        <w:pStyle w:val="5"/>
        <w:spacing w:after="0" w:line="480" w:lineRule="auto"/>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设备安装及调试</w:t>
      </w:r>
    </w:p>
    <w:p>
      <w:pPr>
        <w:pStyle w:val="5"/>
        <w:spacing w:after="0" w:line="480" w:lineRule="auto"/>
        <w:ind w:firstLine="480" w:firstLineChars="200"/>
        <w:rPr>
          <w:rFonts w:ascii="宋体" w:hAnsi="宋体"/>
          <w:sz w:val="24"/>
        </w:rPr>
      </w:pPr>
      <w:r>
        <w:rPr>
          <w:rFonts w:ascii="宋体" w:hAnsi="宋体"/>
          <w:sz w:val="24"/>
        </w:rPr>
        <w:t>中标方负责仪器设备的安装及调试，须经采购人人员和成交人工程技术人员一起对仪器开机进行各项性能</w:t>
      </w:r>
      <w:r>
        <w:rPr>
          <w:rFonts w:ascii="宋体" w:hAnsi="宋体"/>
          <w:spacing w:val="-1"/>
          <w:sz w:val="24"/>
        </w:rPr>
        <w:t>指标测试，并对零配件等核对无误后，作出移机后设备状态评估，填写设备状态确认单(双方签字，确认单由</w:t>
      </w:r>
      <w:r>
        <w:rPr>
          <w:rFonts w:ascii="宋体" w:hAnsi="宋体"/>
          <w:sz w:val="24"/>
        </w:rPr>
        <w:t>成交人提供，采购人认可）。</w:t>
      </w:r>
      <w:r>
        <w:rPr>
          <w:rFonts w:hint="eastAsia" w:ascii="宋体" w:hAnsi="宋体"/>
          <w:sz w:val="24"/>
        </w:rPr>
        <w:t>在搬迁过程中因供应商造成的</w:t>
      </w:r>
      <w:r>
        <w:rPr>
          <w:rFonts w:ascii="宋体" w:hAnsi="宋体"/>
          <w:sz w:val="24"/>
        </w:rPr>
        <w:t>损坏或遗失部分，由成交供应商负全部责任，承担维修或更换零配件并保证设备正常运行，</w:t>
      </w:r>
      <w:r>
        <w:rPr>
          <w:rFonts w:hint="eastAsia" w:ascii="宋体" w:hAnsi="宋体"/>
          <w:sz w:val="24"/>
        </w:rPr>
        <w:t>造成设备或物资遗失的，应由供应商全额赔偿</w:t>
      </w:r>
      <w:r>
        <w:rPr>
          <w:rFonts w:ascii="宋体" w:hAnsi="宋体"/>
          <w:sz w:val="24"/>
        </w:rPr>
        <w:t>。</w:t>
      </w:r>
    </w:p>
    <w:p>
      <w:pPr>
        <w:pStyle w:val="5"/>
        <w:spacing w:after="0" w:line="480" w:lineRule="auto"/>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安全要求</w:t>
      </w:r>
    </w:p>
    <w:p>
      <w:pPr>
        <w:pStyle w:val="5"/>
        <w:spacing w:after="0" w:line="480" w:lineRule="auto"/>
        <w:ind w:firstLine="480" w:firstLineChars="200"/>
        <w:rPr>
          <w:rFonts w:ascii="宋体" w:hAnsi="宋体"/>
          <w:sz w:val="24"/>
        </w:rPr>
      </w:pPr>
      <w:r>
        <w:rPr>
          <w:rFonts w:ascii="宋体" w:hAnsi="宋体"/>
          <w:sz w:val="24"/>
        </w:rPr>
        <w:t>有科学、健全的搬运安全制度和措施。负责安全、按章搬运，保证人身、搬运车辆和财物安全的方案。做好搬运物品的保护。轻拿、轻放、轻装、轻摆；摆放合理，做好物品固定和隔离，平稳行车，避免搬运物品损坏和丢失。做好防雨、防水、防火、防压、防碰。</w:t>
      </w:r>
    </w:p>
    <w:p>
      <w:pPr>
        <w:spacing w:line="480" w:lineRule="auto"/>
        <w:ind w:firstLine="506" w:firstLineChars="200"/>
        <w:rPr>
          <w:rFonts w:ascii="宋体" w:hAnsi="宋体"/>
          <w:b/>
          <w:bCs/>
          <w:sz w:val="24"/>
        </w:rPr>
      </w:pPr>
      <w:r>
        <w:rPr>
          <w:rFonts w:ascii="宋体" w:hAnsi="宋体"/>
          <w:b/>
          <w:bCs/>
          <w:w w:val="105"/>
          <w:sz w:val="24"/>
        </w:rPr>
        <w:t>2、制定搬迁方案和计划</w:t>
      </w:r>
    </w:p>
    <w:p>
      <w:pPr>
        <w:tabs>
          <w:tab w:val="left" w:pos="889"/>
        </w:tabs>
        <w:spacing w:line="480" w:lineRule="auto"/>
        <w:ind w:firstLine="476" w:firstLineChars="200"/>
        <w:rPr>
          <w:rFonts w:ascii="宋体" w:hAnsi="宋体"/>
          <w:sz w:val="24"/>
        </w:rPr>
      </w:pPr>
      <w:r>
        <w:rPr>
          <w:rFonts w:hint="eastAsia" w:ascii="宋体" w:hAnsi="宋体"/>
          <w:spacing w:val="-1"/>
          <w:sz w:val="24"/>
        </w:rPr>
        <w:t>2.1</w:t>
      </w:r>
      <w:r>
        <w:rPr>
          <w:rFonts w:ascii="宋体" w:hAnsi="宋体"/>
          <w:spacing w:val="-1"/>
          <w:sz w:val="24"/>
        </w:rPr>
        <w:t>仪器设备等物资搬迁方案制定：包括项目的管理方案、项目的实施方案、实施计划、应急处置方案</w:t>
      </w:r>
      <w:r>
        <w:rPr>
          <w:rFonts w:ascii="宋体" w:hAnsi="宋体"/>
          <w:sz w:val="24"/>
        </w:rPr>
        <w:t>等；</w:t>
      </w:r>
    </w:p>
    <w:p>
      <w:pPr>
        <w:tabs>
          <w:tab w:val="left" w:pos="445"/>
        </w:tabs>
        <w:spacing w:line="480" w:lineRule="auto"/>
        <w:ind w:firstLine="476" w:firstLineChars="200"/>
        <w:rPr>
          <w:rFonts w:ascii="宋体" w:hAnsi="宋体"/>
          <w:sz w:val="24"/>
        </w:rPr>
      </w:pPr>
      <w:r>
        <w:rPr>
          <w:rFonts w:hint="eastAsia" w:ascii="宋体" w:hAnsi="宋体"/>
          <w:spacing w:val="-1"/>
          <w:sz w:val="24"/>
        </w:rPr>
        <w:t>2.2</w:t>
      </w:r>
      <w:r>
        <w:rPr>
          <w:rFonts w:ascii="宋体" w:hAnsi="宋体"/>
          <w:spacing w:val="-1"/>
          <w:sz w:val="24"/>
        </w:rPr>
        <w:t>搬迁项目服务实施方应按照仪器设备等物资搬迁要求制定出详尽、可行的搬迁方案，且须获得认可方可实</w:t>
      </w:r>
      <w:r>
        <w:rPr>
          <w:rFonts w:ascii="宋体" w:hAnsi="宋体"/>
          <w:sz w:val="24"/>
        </w:rPr>
        <w:t>施。</w:t>
      </w:r>
    </w:p>
    <w:p>
      <w:pPr>
        <w:tabs>
          <w:tab w:val="left" w:pos="889"/>
        </w:tabs>
        <w:spacing w:line="480" w:lineRule="auto"/>
        <w:ind w:firstLine="476" w:firstLineChars="200"/>
        <w:rPr>
          <w:rFonts w:ascii="宋体" w:hAnsi="宋体"/>
          <w:sz w:val="24"/>
        </w:rPr>
      </w:pPr>
      <w:r>
        <w:rPr>
          <w:rFonts w:hint="eastAsia" w:ascii="宋体" w:hAnsi="宋体"/>
          <w:spacing w:val="-1"/>
          <w:sz w:val="24"/>
        </w:rPr>
        <w:t>2.3</w:t>
      </w:r>
      <w:r>
        <w:rPr>
          <w:rFonts w:ascii="宋体" w:hAnsi="宋体"/>
          <w:spacing w:val="-1"/>
          <w:sz w:val="24"/>
        </w:rPr>
        <w:t>搬迁项目供应商应对新址及旧址进行充分调研，特别是涉及水电气管网等的保障性设施能否满足精密</w:t>
      </w:r>
      <w:r>
        <w:rPr>
          <w:rFonts w:ascii="宋体" w:hAnsi="宋体"/>
          <w:sz w:val="24"/>
        </w:rPr>
        <w:t>分析仪器安装的条件，提出切实可行的应对方案，保障搬迁工作的顺利完成</w:t>
      </w:r>
      <w:r>
        <w:rPr>
          <w:rFonts w:hint="eastAsia" w:ascii="宋体" w:hAnsi="宋体"/>
          <w:sz w:val="24"/>
        </w:rPr>
        <w:t>；、</w:t>
      </w:r>
    </w:p>
    <w:p>
      <w:pPr>
        <w:pStyle w:val="24"/>
        <w:numPr>
          <w:ilvl w:val="0"/>
          <w:numId w:val="1"/>
        </w:numPr>
        <w:tabs>
          <w:tab w:val="left" w:pos="889"/>
        </w:tabs>
        <w:spacing w:line="480" w:lineRule="auto"/>
        <w:ind w:left="0" w:firstLine="506" w:firstLineChars="200"/>
        <w:rPr>
          <w:rFonts w:ascii="宋体" w:hAnsi="宋体"/>
          <w:b/>
          <w:bCs/>
          <w:sz w:val="24"/>
          <w:szCs w:val="24"/>
          <w:lang w:eastAsia="zh-CN"/>
        </w:rPr>
      </w:pPr>
      <w:r>
        <w:rPr>
          <w:rFonts w:ascii="宋体" w:hAnsi="宋体"/>
          <w:b/>
          <w:bCs/>
          <w:w w:val="105"/>
          <w:sz w:val="24"/>
          <w:szCs w:val="24"/>
          <w:lang w:eastAsia="zh-CN"/>
        </w:rPr>
        <w:t>搬迁项目操作人员要求</w:t>
      </w:r>
    </w:p>
    <w:p>
      <w:pPr>
        <w:pStyle w:val="5"/>
        <w:spacing w:after="0" w:line="480" w:lineRule="auto"/>
        <w:ind w:firstLine="480" w:firstLineChars="200"/>
        <w:rPr>
          <w:rFonts w:ascii="宋体" w:hAnsi="宋体"/>
          <w:sz w:val="24"/>
        </w:rPr>
      </w:pPr>
      <w:r>
        <w:rPr>
          <w:rFonts w:ascii="宋体" w:hAnsi="宋体"/>
          <w:sz w:val="24"/>
        </w:rPr>
        <w:t>3.1所有搬迁项目操作人员须保证身体健康并统一着装；</w:t>
      </w:r>
    </w:p>
    <w:p>
      <w:pPr>
        <w:pStyle w:val="5"/>
        <w:spacing w:after="0" w:line="48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2</w:t>
      </w:r>
      <w:r>
        <w:rPr>
          <w:rFonts w:ascii="宋体" w:hAnsi="宋体"/>
          <w:sz w:val="24"/>
        </w:rPr>
        <w:t>搬迁项目过程中所用到的特种机械及工具的操作人员应具备特种行业作业资格（</w:t>
      </w:r>
      <w:r>
        <w:rPr>
          <w:rFonts w:ascii="宋体" w:hAnsi="宋体"/>
          <w:spacing w:val="-2"/>
          <w:sz w:val="24"/>
        </w:rPr>
        <w:t>提供相应的资格证书复印</w:t>
      </w:r>
      <w:r>
        <w:rPr>
          <w:rFonts w:ascii="宋体" w:hAnsi="宋体"/>
          <w:sz w:val="24"/>
        </w:rPr>
        <w:t>件）。</w:t>
      </w:r>
    </w:p>
    <w:p>
      <w:pPr>
        <w:tabs>
          <w:tab w:val="left" w:pos="445"/>
        </w:tabs>
        <w:spacing w:line="48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3</w:t>
      </w:r>
      <w:r>
        <w:rPr>
          <w:rFonts w:ascii="宋体" w:hAnsi="宋体"/>
          <w:sz w:val="24"/>
        </w:rPr>
        <w:t>严格按操作规程办事。</w:t>
      </w:r>
    </w:p>
    <w:p>
      <w:pPr>
        <w:tabs>
          <w:tab w:val="left" w:pos="445"/>
        </w:tabs>
        <w:spacing w:line="48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4</w:t>
      </w:r>
      <w:r>
        <w:rPr>
          <w:rFonts w:ascii="宋体" w:hAnsi="宋体"/>
          <w:sz w:val="24"/>
        </w:rPr>
        <w:t>有提高搬运效率的措施。</w:t>
      </w:r>
    </w:p>
    <w:p>
      <w:pPr>
        <w:tabs>
          <w:tab w:val="left" w:pos="445"/>
        </w:tabs>
        <w:spacing w:line="48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5</w:t>
      </w:r>
      <w:r>
        <w:rPr>
          <w:rFonts w:ascii="宋体" w:hAnsi="宋体"/>
          <w:sz w:val="24"/>
        </w:rPr>
        <w:t>严格按照调度实施搬运。</w:t>
      </w:r>
    </w:p>
    <w:p>
      <w:pPr>
        <w:tabs>
          <w:tab w:val="left" w:pos="445"/>
        </w:tabs>
        <w:spacing w:line="48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6</w:t>
      </w:r>
      <w:r>
        <w:rPr>
          <w:rFonts w:ascii="宋体" w:hAnsi="宋体"/>
          <w:sz w:val="24"/>
        </w:rPr>
        <w:t>搬运公司对司机、搬运工作人员进行业务培训，熟悉搬运业务。</w:t>
      </w:r>
    </w:p>
    <w:p>
      <w:pPr>
        <w:tabs>
          <w:tab w:val="left" w:pos="445"/>
        </w:tabs>
        <w:spacing w:line="480" w:lineRule="auto"/>
        <w:ind w:firstLine="476" w:firstLineChars="200"/>
        <w:rPr>
          <w:rFonts w:ascii="宋体" w:hAnsi="宋体"/>
          <w:sz w:val="24"/>
        </w:rPr>
      </w:pPr>
      <w:r>
        <w:rPr>
          <w:rFonts w:hint="eastAsia" w:ascii="宋体" w:hAnsi="宋体"/>
          <w:spacing w:val="-1"/>
          <w:sz w:val="24"/>
        </w:rPr>
        <w:t>3.</w:t>
      </w:r>
      <w:r>
        <w:rPr>
          <w:rFonts w:hint="eastAsia" w:ascii="宋体" w:hAnsi="宋体"/>
          <w:spacing w:val="-1"/>
          <w:sz w:val="24"/>
          <w:lang w:val="en-US" w:eastAsia="zh-CN"/>
        </w:rPr>
        <w:t>7</w:t>
      </w:r>
      <w:r>
        <w:rPr>
          <w:rFonts w:ascii="宋体" w:hAnsi="宋体"/>
          <w:spacing w:val="-1"/>
          <w:sz w:val="24"/>
        </w:rPr>
        <w:t>要求工作人员认真负责、服务态度好、言行文明。搬运人员的意见、建议，必须通过搬运企业现场负责人</w:t>
      </w:r>
      <w:r>
        <w:rPr>
          <w:rFonts w:ascii="宋体" w:hAnsi="宋体"/>
          <w:sz w:val="24"/>
        </w:rPr>
        <w:t>反映，不得直接向客户现场员工提出。</w:t>
      </w:r>
    </w:p>
    <w:p>
      <w:pPr>
        <w:tabs>
          <w:tab w:val="left" w:pos="445"/>
        </w:tabs>
        <w:spacing w:line="48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8</w:t>
      </w:r>
      <w:r>
        <w:rPr>
          <w:rFonts w:ascii="宋体" w:hAnsi="宋体"/>
          <w:sz w:val="24"/>
        </w:rPr>
        <w:t>做好异常气候、车辆故障、事故等应急处置工作。</w:t>
      </w:r>
    </w:p>
    <w:p>
      <w:pPr>
        <w:pStyle w:val="24"/>
        <w:numPr>
          <w:ilvl w:val="0"/>
          <w:numId w:val="1"/>
        </w:numPr>
        <w:spacing w:line="480" w:lineRule="auto"/>
        <w:ind w:left="0" w:firstLine="506" w:firstLineChars="200"/>
        <w:rPr>
          <w:rFonts w:ascii="宋体" w:hAnsi="宋体"/>
          <w:b/>
          <w:bCs/>
          <w:sz w:val="24"/>
          <w:szCs w:val="24"/>
          <w:lang w:eastAsia="zh-CN"/>
        </w:rPr>
      </w:pPr>
      <w:r>
        <w:rPr>
          <w:rFonts w:ascii="宋体" w:hAnsi="宋体"/>
          <w:b/>
          <w:bCs/>
          <w:w w:val="105"/>
          <w:sz w:val="24"/>
          <w:szCs w:val="24"/>
          <w:lang w:eastAsia="zh-CN"/>
        </w:rPr>
        <w:t>搬迁项目过程中的器械及工具要求</w:t>
      </w:r>
    </w:p>
    <w:p>
      <w:pPr>
        <w:tabs>
          <w:tab w:val="left" w:pos="445"/>
        </w:tabs>
        <w:spacing w:line="480" w:lineRule="auto"/>
        <w:ind w:firstLine="480" w:firstLineChars="200"/>
        <w:rPr>
          <w:rFonts w:ascii="宋体" w:hAnsi="宋体"/>
          <w:sz w:val="24"/>
        </w:rPr>
      </w:pPr>
      <w:r>
        <w:rPr>
          <w:rFonts w:hint="eastAsia" w:ascii="宋体" w:hAnsi="宋体"/>
          <w:sz w:val="24"/>
        </w:rPr>
        <w:t>4.1</w:t>
      </w:r>
      <w:r>
        <w:rPr>
          <w:rFonts w:ascii="宋体" w:hAnsi="宋体"/>
          <w:sz w:val="24"/>
        </w:rPr>
        <w:t>所有用于搬迁项目工作的车辆、机械设备和工具须干净、整洁；</w:t>
      </w:r>
    </w:p>
    <w:p>
      <w:pPr>
        <w:pStyle w:val="24"/>
        <w:numPr>
          <w:ilvl w:val="0"/>
          <w:numId w:val="2"/>
        </w:numPr>
        <w:tabs>
          <w:tab w:val="left" w:pos="445"/>
        </w:tabs>
        <w:spacing w:line="480" w:lineRule="auto"/>
        <w:ind w:left="0" w:firstLine="476" w:firstLineChars="200"/>
        <w:rPr>
          <w:rFonts w:ascii="宋体" w:hAnsi="宋体"/>
          <w:sz w:val="24"/>
          <w:szCs w:val="24"/>
          <w:lang w:eastAsia="zh-CN"/>
        </w:rPr>
      </w:pPr>
      <w:r>
        <w:rPr>
          <w:rFonts w:ascii="宋体" w:hAnsi="宋体"/>
          <w:spacing w:val="-1"/>
          <w:sz w:val="24"/>
          <w:szCs w:val="24"/>
          <w:lang w:eastAsia="zh-CN"/>
        </w:rPr>
        <w:t>所有运输车辆为箱式封闭货车，且符合当地运输车辆管理条例的要求，保险有效，同时符合环保的相关要</w:t>
      </w:r>
      <w:r>
        <w:rPr>
          <w:rFonts w:ascii="宋体" w:hAnsi="宋体"/>
          <w:sz w:val="24"/>
          <w:szCs w:val="24"/>
          <w:lang w:eastAsia="zh-CN"/>
        </w:rPr>
        <w:t>求；</w:t>
      </w:r>
    </w:p>
    <w:p>
      <w:pPr>
        <w:pStyle w:val="24"/>
        <w:numPr>
          <w:ilvl w:val="0"/>
          <w:numId w:val="2"/>
        </w:numPr>
        <w:tabs>
          <w:tab w:val="left" w:pos="445"/>
        </w:tabs>
        <w:spacing w:line="480" w:lineRule="auto"/>
        <w:ind w:left="0" w:firstLine="480" w:firstLineChars="200"/>
        <w:rPr>
          <w:rFonts w:ascii="宋体" w:hAnsi="宋体"/>
          <w:sz w:val="24"/>
          <w:szCs w:val="24"/>
          <w:lang w:eastAsia="zh-CN"/>
        </w:rPr>
      </w:pPr>
      <w:r>
        <w:rPr>
          <w:rFonts w:ascii="宋体" w:hAnsi="宋体"/>
          <w:sz w:val="24"/>
          <w:szCs w:val="24"/>
          <w:lang w:eastAsia="zh-CN"/>
        </w:rPr>
        <w:t>所有运输车辆、机械设备的操作人员须统一着装；</w:t>
      </w:r>
    </w:p>
    <w:p>
      <w:pPr>
        <w:pStyle w:val="24"/>
        <w:numPr>
          <w:ilvl w:val="0"/>
          <w:numId w:val="2"/>
        </w:numPr>
        <w:tabs>
          <w:tab w:val="left" w:pos="445"/>
        </w:tabs>
        <w:spacing w:line="480" w:lineRule="auto"/>
        <w:ind w:left="0" w:firstLine="480" w:firstLineChars="200"/>
        <w:rPr>
          <w:rFonts w:ascii="宋体" w:hAnsi="宋体"/>
          <w:sz w:val="24"/>
          <w:szCs w:val="24"/>
          <w:lang w:eastAsia="zh-CN"/>
        </w:rPr>
      </w:pPr>
      <w:r>
        <w:rPr>
          <w:rFonts w:ascii="宋体" w:hAnsi="宋体"/>
          <w:sz w:val="24"/>
          <w:szCs w:val="24"/>
          <w:lang w:eastAsia="zh-CN"/>
        </w:rPr>
        <w:t>所有运输车辆、机械设备须具备统一的明确标识；</w:t>
      </w:r>
    </w:p>
    <w:p>
      <w:pPr>
        <w:pStyle w:val="24"/>
        <w:numPr>
          <w:ilvl w:val="0"/>
          <w:numId w:val="2"/>
        </w:numPr>
        <w:tabs>
          <w:tab w:val="left" w:pos="445"/>
        </w:tabs>
        <w:spacing w:line="480" w:lineRule="auto"/>
        <w:ind w:left="0" w:firstLine="480" w:firstLineChars="200"/>
        <w:rPr>
          <w:rFonts w:ascii="宋体" w:hAnsi="宋体"/>
          <w:sz w:val="24"/>
          <w:szCs w:val="24"/>
          <w:lang w:eastAsia="zh-CN"/>
        </w:rPr>
      </w:pPr>
      <w:r>
        <w:rPr>
          <w:rFonts w:ascii="宋体" w:hAnsi="宋体"/>
          <w:sz w:val="24"/>
          <w:szCs w:val="24"/>
          <w:lang w:eastAsia="zh-CN"/>
        </w:rPr>
        <w:t>所有用于运输的厢式货车箱体内部须保证干净且有固定装置减震防振、防水、防倾斜等；</w:t>
      </w:r>
    </w:p>
    <w:p>
      <w:pPr>
        <w:pStyle w:val="24"/>
        <w:numPr>
          <w:ilvl w:val="0"/>
          <w:numId w:val="2"/>
        </w:numPr>
        <w:tabs>
          <w:tab w:val="left" w:pos="445"/>
        </w:tabs>
        <w:spacing w:line="480" w:lineRule="auto"/>
        <w:ind w:left="0" w:firstLine="480" w:firstLineChars="200"/>
        <w:rPr>
          <w:rFonts w:ascii="宋体" w:hAnsi="宋体"/>
          <w:sz w:val="24"/>
          <w:szCs w:val="24"/>
          <w:lang w:eastAsia="zh-CN"/>
        </w:rPr>
      </w:pPr>
      <w:r>
        <w:rPr>
          <w:rFonts w:ascii="宋体" w:hAnsi="宋体"/>
          <w:sz w:val="24"/>
          <w:szCs w:val="24"/>
          <w:lang w:eastAsia="zh-CN"/>
        </w:rPr>
        <w:t>所有现场作业的叉车须保证干净。</w:t>
      </w:r>
    </w:p>
    <w:p>
      <w:pPr>
        <w:pStyle w:val="24"/>
        <w:numPr>
          <w:numId w:val="0"/>
        </w:numPr>
        <w:spacing w:line="480" w:lineRule="auto"/>
        <w:ind w:leftChars="200"/>
        <w:rPr>
          <w:rFonts w:ascii="宋体" w:hAnsi="宋体"/>
          <w:b/>
          <w:bCs/>
          <w:sz w:val="24"/>
          <w:szCs w:val="24"/>
          <w:lang w:eastAsia="zh-CN"/>
        </w:rPr>
      </w:pPr>
      <w:r>
        <w:rPr>
          <w:rFonts w:hint="eastAsia" w:ascii="宋体" w:hAnsi="宋体"/>
          <w:b/>
          <w:bCs/>
          <w:w w:val="110"/>
          <w:sz w:val="24"/>
          <w:szCs w:val="24"/>
          <w:lang w:val="en-US" w:eastAsia="zh-CN"/>
        </w:rPr>
        <w:t>5、</w:t>
      </w:r>
      <w:r>
        <w:rPr>
          <w:rFonts w:ascii="宋体" w:hAnsi="宋体"/>
          <w:b/>
          <w:bCs/>
          <w:w w:val="110"/>
          <w:sz w:val="24"/>
          <w:szCs w:val="24"/>
          <w:lang w:eastAsia="zh-CN"/>
        </w:rPr>
        <w:t>搬迁项目供应商的物料要求</w:t>
      </w:r>
    </w:p>
    <w:p>
      <w:pPr>
        <w:tabs>
          <w:tab w:val="left" w:pos="445"/>
        </w:tabs>
        <w:spacing w:line="480" w:lineRule="auto"/>
        <w:ind w:firstLine="480" w:firstLineChars="200"/>
        <w:rPr>
          <w:rFonts w:ascii="宋体" w:hAnsi="宋体"/>
          <w:sz w:val="24"/>
        </w:rPr>
      </w:pPr>
      <w:r>
        <w:rPr>
          <w:rFonts w:hint="eastAsia" w:ascii="宋体" w:hAnsi="宋体"/>
          <w:sz w:val="24"/>
        </w:rPr>
        <w:t>5.1</w:t>
      </w:r>
      <w:r>
        <w:rPr>
          <w:rFonts w:ascii="宋体" w:hAnsi="宋体"/>
          <w:sz w:val="24"/>
        </w:rPr>
        <w:t>搬迁项目供应商须自行准备满足净化间洁净度作业需要的无尘室防护用品；</w:t>
      </w:r>
    </w:p>
    <w:p>
      <w:pPr>
        <w:tabs>
          <w:tab w:val="left" w:pos="445"/>
        </w:tabs>
        <w:spacing w:line="480" w:lineRule="auto"/>
        <w:ind w:firstLine="480" w:firstLineChars="200"/>
        <w:rPr>
          <w:rFonts w:ascii="宋体" w:hAnsi="宋体"/>
          <w:sz w:val="24"/>
        </w:rPr>
      </w:pPr>
      <w:r>
        <w:rPr>
          <w:rFonts w:hint="eastAsia" w:ascii="宋体" w:hAnsi="宋体"/>
          <w:sz w:val="24"/>
        </w:rPr>
        <w:t>5.2</w:t>
      </w:r>
      <w:r>
        <w:rPr>
          <w:rFonts w:ascii="宋体" w:hAnsi="宋体"/>
          <w:sz w:val="24"/>
        </w:rPr>
        <w:t>搬迁项目供应商须自行准备满足净化间洁净度需要的操作工具。</w:t>
      </w:r>
    </w:p>
    <w:p>
      <w:pPr>
        <w:tabs>
          <w:tab w:val="left" w:pos="445"/>
        </w:tabs>
        <w:spacing w:line="480" w:lineRule="auto"/>
        <w:ind w:firstLine="480" w:firstLineChars="200"/>
        <w:rPr>
          <w:rFonts w:ascii="宋体" w:hAnsi="宋体"/>
          <w:sz w:val="24"/>
        </w:rPr>
      </w:pPr>
      <w:r>
        <w:rPr>
          <w:rFonts w:hint="eastAsia" w:ascii="宋体" w:hAnsi="宋体"/>
          <w:sz w:val="24"/>
        </w:rPr>
        <w:t>5.3</w:t>
      </w:r>
      <w:r>
        <w:rPr>
          <w:rFonts w:ascii="宋体" w:hAnsi="宋体"/>
          <w:sz w:val="24"/>
        </w:rPr>
        <w:t>搬迁物资的包装所用的软包装，纸质包装，木板包装，及装箱填充物，选择PE膜，PE</w:t>
      </w:r>
      <w:r>
        <w:rPr>
          <w:rFonts w:ascii="宋体" w:hAnsi="宋体"/>
          <w:spacing w:val="-2"/>
          <w:sz w:val="24"/>
        </w:rPr>
        <w:t>板，所使用的包装材</w:t>
      </w:r>
      <w:r>
        <w:rPr>
          <w:rFonts w:ascii="宋体" w:hAnsi="宋体"/>
          <w:sz w:val="24"/>
        </w:rPr>
        <w:t>料均符合国际运输环保标准,专业环保的包材及减震可以适用实验室所有仪器包装与运输。</w:t>
      </w:r>
    </w:p>
    <w:p>
      <w:pPr>
        <w:tabs>
          <w:tab w:val="left" w:pos="445"/>
        </w:tabs>
        <w:spacing w:line="480" w:lineRule="auto"/>
        <w:ind w:firstLine="480" w:firstLineChars="200"/>
        <w:rPr>
          <w:rFonts w:ascii="宋体" w:hAnsi="宋体"/>
          <w:sz w:val="24"/>
        </w:rPr>
      </w:pPr>
      <w:r>
        <w:rPr>
          <w:rFonts w:hint="eastAsia" w:ascii="宋体" w:hAnsi="宋体"/>
          <w:sz w:val="24"/>
        </w:rPr>
        <w:t>5.4</w:t>
      </w:r>
      <w:r>
        <w:rPr>
          <w:rFonts w:ascii="宋体" w:hAnsi="宋体"/>
          <w:sz w:val="24"/>
        </w:rPr>
        <w:t>搬迁项目作业期间应保证包装材料的干燥，且在运输过程中做好防水处理工作；</w:t>
      </w:r>
    </w:p>
    <w:p>
      <w:pPr>
        <w:tabs>
          <w:tab w:val="left" w:pos="445"/>
        </w:tabs>
        <w:spacing w:line="480" w:lineRule="auto"/>
        <w:ind w:firstLine="480" w:firstLineChars="200"/>
        <w:rPr>
          <w:rFonts w:ascii="宋体" w:hAnsi="宋体"/>
          <w:sz w:val="24"/>
        </w:rPr>
      </w:pPr>
      <w:r>
        <w:rPr>
          <w:rFonts w:hint="eastAsia" w:ascii="宋体" w:hAnsi="宋体"/>
          <w:sz w:val="24"/>
        </w:rPr>
        <w:t>5.5</w:t>
      </w:r>
      <w:r>
        <w:rPr>
          <w:rFonts w:ascii="宋体" w:hAnsi="宋体"/>
          <w:sz w:val="24"/>
        </w:rPr>
        <w:t>废弃的包装材料及填充物应当天清理干净，且保证作业现场的整洁；</w:t>
      </w:r>
    </w:p>
    <w:p>
      <w:pPr>
        <w:tabs>
          <w:tab w:val="left" w:pos="445"/>
        </w:tabs>
        <w:spacing w:line="480" w:lineRule="auto"/>
        <w:ind w:firstLine="480" w:firstLineChars="200"/>
        <w:rPr>
          <w:rFonts w:ascii="宋体" w:hAnsi="宋体"/>
          <w:sz w:val="24"/>
        </w:rPr>
      </w:pPr>
      <w:r>
        <w:rPr>
          <w:rFonts w:hint="eastAsia" w:ascii="宋体" w:hAnsi="宋体"/>
          <w:sz w:val="24"/>
        </w:rPr>
        <w:t>5.6</w:t>
      </w:r>
      <w:r>
        <w:rPr>
          <w:rFonts w:ascii="宋体" w:hAnsi="宋体"/>
          <w:sz w:val="24"/>
        </w:rPr>
        <w:t>搬迁项目作业期间包装箱应与仪器设备的尺寸相匹配；</w:t>
      </w:r>
    </w:p>
    <w:p>
      <w:pPr>
        <w:tabs>
          <w:tab w:val="left" w:pos="445"/>
        </w:tabs>
        <w:spacing w:line="480" w:lineRule="auto"/>
        <w:ind w:firstLine="476" w:firstLineChars="200"/>
        <w:rPr>
          <w:rFonts w:ascii="宋体" w:hAnsi="宋体"/>
          <w:sz w:val="24"/>
        </w:rPr>
      </w:pPr>
      <w:r>
        <w:rPr>
          <w:rFonts w:hint="eastAsia" w:ascii="宋体" w:hAnsi="宋体"/>
          <w:spacing w:val="-1"/>
          <w:sz w:val="24"/>
        </w:rPr>
        <w:t>5.7</w:t>
      </w:r>
      <w:r>
        <w:rPr>
          <w:rFonts w:ascii="宋体" w:hAnsi="宋体"/>
          <w:spacing w:val="-1"/>
          <w:sz w:val="24"/>
        </w:rPr>
        <w:t>搬迁项目作业期间包装箱体外应有清晰明确的标识，标识应能满足信息化管理的需求；标识包括仪器设备</w:t>
      </w:r>
      <w:r>
        <w:rPr>
          <w:rFonts w:ascii="宋体" w:hAnsi="宋体"/>
          <w:sz w:val="24"/>
        </w:rPr>
        <w:t>的名称、编号等；</w:t>
      </w:r>
    </w:p>
    <w:p>
      <w:pPr>
        <w:tabs>
          <w:tab w:val="left" w:pos="445"/>
        </w:tabs>
        <w:spacing w:line="480" w:lineRule="auto"/>
        <w:ind w:firstLine="480" w:firstLineChars="200"/>
        <w:rPr>
          <w:rFonts w:ascii="宋体" w:hAnsi="宋体"/>
          <w:sz w:val="24"/>
        </w:rPr>
      </w:pPr>
      <w:r>
        <w:rPr>
          <w:rFonts w:hint="eastAsia" w:ascii="宋体" w:hAnsi="宋体"/>
          <w:sz w:val="24"/>
        </w:rPr>
        <w:t>5.8</w:t>
      </w:r>
      <w:r>
        <w:rPr>
          <w:rFonts w:ascii="宋体" w:hAnsi="宋体"/>
          <w:sz w:val="24"/>
        </w:rPr>
        <w:t>所有精密仪器都需要适宜的包装，质谱等大型精密仪器包装按照国际运输要求包装（</w:t>
      </w:r>
      <w:r>
        <w:rPr>
          <w:rFonts w:ascii="宋体" w:hAnsi="宋体"/>
          <w:spacing w:val="-3"/>
          <w:sz w:val="24"/>
        </w:rPr>
        <w:t>真空包装、干燥处</w:t>
      </w:r>
      <w:r>
        <w:rPr>
          <w:rFonts w:ascii="宋体" w:hAnsi="宋体"/>
          <w:sz w:val="24"/>
        </w:rPr>
        <w:t>理、缓冲设置、木箱包装）</w:t>
      </w:r>
    </w:p>
    <w:p>
      <w:pPr>
        <w:spacing w:line="480" w:lineRule="auto"/>
        <w:ind w:firstLine="506" w:firstLineChars="200"/>
        <w:rPr>
          <w:rFonts w:ascii="宋体" w:hAnsi="宋体"/>
          <w:b/>
          <w:bCs/>
          <w:w w:val="105"/>
          <w:sz w:val="24"/>
        </w:rPr>
      </w:pPr>
      <w:r>
        <w:rPr>
          <w:rFonts w:ascii="宋体" w:hAnsi="宋体"/>
          <w:b/>
          <w:bCs/>
          <w:w w:val="105"/>
          <w:sz w:val="24"/>
        </w:rPr>
        <w:t>6、搬迁项目过程管理要求</w:t>
      </w:r>
    </w:p>
    <w:p>
      <w:pPr>
        <w:spacing w:line="480" w:lineRule="auto"/>
        <w:ind w:firstLine="480" w:firstLineChars="200"/>
        <w:rPr>
          <w:rFonts w:ascii="宋体" w:hAnsi="宋体"/>
          <w:b/>
          <w:bCs/>
          <w:sz w:val="24"/>
        </w:rPr>
      </w:pPr>
      <w:r>
        <w:rPr>
          <w:rFonts w:ascii="宋体" w:hAnsi="宋体"/>
          <w:sz w:val="24"/>
        </w:rPr>
        <w:t>6.1能够提供有效的过程管理方案，降低搬迁过程中存在的风险，记录搬迁过程中产生的信息；</w:t>
      </w:r>
    </w:p>
    <w:p>
      <w:pPr>
        <w:pStyle w:val="5"/>
        <w:spacing w:after="0" w:line="480" w:lineRule="auto"/>
        <w:ind w:firstLine="480" w:firstLineChars="200"/>
        <w:rPr>
          <w:rFonts w:ascii="宋体" w:hAnsi="宋体"/>
          <w:sz w:val="24"/>
        </w:rPr>
      </w:pPr>
      <w:r>
        <w:rPr>
          <w:rFonts w:ascii="宋体" w:hAnsi="宋体"/>
          <w:sz w:val="24"/>
        </w:rPr>
        <w:t>6.2搬迁项目</w:t>
      </w:r>
      <w:r>
        <w:rPr>
          <w:rFonts w:hint="eastAsia" w:ascii="宋体" w:hAnsi="宋体"/>
          <w:sz w:val="24"/>
        </w:rPr>
        <w:t>管理</w:t>
      </w:r>
      <w:r>
        <w:rPr>
          <w:rFonts w:ascii="宋体" w:hAnsi="宋体"/>
          <w:sz w:val="24"/>
        </w:rPr>
        <w:t>团队人员最低配备标准：项目</w:t>
      </w:r>
      <w:r>
        <w:rPr>
          <w:rFonts w:hint="eastAsia" w:ascii="宋体" w:hAnsi="宋体"/>
          <w:sz w:val="24"/>
        </w:rPr>
        <w:t>总</w:t>
      </w:r>
      <w:r>
        <w:rPr>
          <w:rFonts w:ascii="宋体" w:hAnsi="宋体"/>
          <w:sz w:val="24"/>
        </w:rPr>
        <w:t>负责人1名，现场协调人员2名，</w:t>
      </w:r>
      <w:r>
        <w:rPr>
          <w:rFonts w:hint="eastAsia" w:ascii="宋体" w:hAnsi="宋体"/>
          <w:sz w:val="24"/>
        </w:rPr>
        <w:t>项目管理人员须具备P</w:t>
      </w:r>
      <w:r>
        <w:rPr>
          <w:rFonts w:ascii="宋体" w:hAnsi="宋体"/>
          <w:sz w:val="24"/>
        </w:rPr>
        <w:t>MP</w:t>
      </w:r>
      <w:r>
        <w:rPr>
          <w:rFonts w:hint="eastAsia" w:ascii="宋体" w:hAnsi="宋体"/>
          <w:sz w:val="24"/>
        </w:rPr>
        <w:t>项目管理证书等资质并提供相应证书复印件，</w:t>
      </w:r>
      <w:r>
        <w:rPr>
          <w:rFonts w:ascii="宋体" w:hAnsi="宋体"/>
          <w:sz w:val="24"/>
        </w:rPr>
        <w:t>技术人员</w:t>
      </w:r>
      <w:r>
        <w:rPr>
          <w:rFonts w:hint="eastAsia" w:ascii="宋体" w:hAnsi="宋体"/>
          <w:sz w:val="24"/>
        </w:rPr>
        <w:t>根据项目实际情况需求定</w:t>
      </w:r>
      <w:r>
        <w:rPr>
          <w:rFonts w:ascii="宋体" w:hAnsi="宋体"/>
          <w:sz w:val="24"/>
        </w:rPr>
        <w:t>。</w:t>
      </w:r>
    </w:p>
    <w:p>
      <w:pPr>
        <w:tabs>
          <w:tab w:val="left" w:pos="445"/>
        </w:tabs>
        <w:spacing w:line="480" w:lineRule="auto"/>
        <w:ind w:firstLine="480" w:firstLineChars="200"/>
        <w:rPr>
          <w:rFonts w:ascii="宋体" w:hAnsi="宋体"/>
          <w:sz w:val="24"/>
        </w:rPr>
      </w:pPr>
      <w:r>
        <w:rPr>
          <w:rFonts w:hint="eastAsia" w:ascii="宋体" w:hAnsi="宋体"/>
          <w:sz w:val="24"/>
        </w:rPr>
        <w:t>6.3</w:t>
      </w:r>
      <w:r>
        <w:rPr>
          <w:rFonts w:ascii="宋体" w:hAnsi="宋体"/>
          <w:sz w:val="24"/>
        </w:rPr>
        <w:t>搬迁项目团队岗位任职要求：项目负责人：1）具有大型实验仪器设备搬迁经验。2）</w:t>
      </w:r>
      <w:r>
        <w:rPr>
          <w:rFonts w:ascii="宋体" w:hAnsi="宋体"/>
          <w:spacing w:val="-2"/>
          <w:sz w:val="24"/>
        </w:rPr>
        <w:t>在实验仪器设备搬迁</w:t>
      </w:r>
      <w:r>
        <w:rPr>
          <w:rFonts w:ascii="宋体" w:hAnsi="宋体"/>
          <w:sz w:val="24"/>
        </w:rPr>
        <w:t>工作中担任过项目负责人，未收到服务对象投诉意见。3）</w:t>
      </w:r>
      <w:r>
        <w:rPr>
          <w:rFonts w:ascii="宋体" w:hAnsi="宋体"/>
          <w:spacing w:val="-1"/>
          <w:sz w:val="24"/>
        </w:rPr>
        <w:t>具有很好的统筹协调能力、应急事件的处理能力。</w:t>
      </w:r>
    </w:p>
    <w:p>
      <w:pPr>
        <w:tabs>
          <w:tab w:val="left" w:pos="445"/>
        </w:tabs>
        <w:spacing w:line="480" w:lineRule="auto"/>
        <w:ind w:firstLine="480" w:firstLineChars="200"/>
        <w:rPr>
          <w:rFonts w:ascii="宋体" w:hAnsi="宋体"/>
          <w:sz w:val="24"/>
        </w:rPr>
      </w:pPr>
      <w:r>
        <w:rPr>
          <w:rFonts w:hint="eastAsia" w:ascii="宋体" w:hAnsi="宋体"/>
          <w:sz w:val="24"/>
        </w:rPr>
        <w:t>6.4</w:t>
      </w:r>
      <w:r>
        <w:rPr>
          <w:rFonts w:ascii="宋体" w:hAnsi="宋体"/>
          <w:sz w:val="24"/>
        </w:rPr>
        <w:t>搬迁项目团队岗位任职要求：1）</w:t>
      </w:r>
      <w:r>
        <w:rPr>
          <w:rFonts w:ascii="宋体" w:hAnsi="宋体"/>
          <w:spacing w:val="1"/>
          <w:sz w:val="24"/>
        </w:rPr>
        <w:t>具有实验仪器设备搬迁工作从业 经验。</w:t>
      </w:r>
      <w:r>
        <w:rPr>
          <w:rFonts w:ascii="宋体" w:hAnsi="宋体"/>
          <w:sz w:val="24"/>
        </w:rPr>
        <w:t>2）</w:t>
      </w:r>
      <w:r>
        <w:rPr>
          <w:rFonts w:ascii="宋体" w:hAnsi="宋体"/>
          <w:spacing w:val="-2"/>
          <w:sz w:val="24"/>
        </w:rPr>
        <w:t>负责仪器设备拆卸安装、调</w:t>
      </w:r>
      <w:r>
        <w:rPr>
          <w:rFonts w:ascii="宋体" w:hAnsi="宋体"/>
          <w:sz w:val="24"/>
        </w:rPr>
        <w:t>试、维保工作的工程师应具备相应仪器设备的工程师培训证书或资质证明，提供相应证书复印件；</w:t>
      </w:r>
    </w:p>
    <w:p>
      <w:pPr>
        <w:tabs>
          <w:tab w:val="left" w:pos="445"/>
        </w:tabs>
        <w:spacing w:line="480" w:lineRule="auto"/>
        <w:ind w:firstLine="480" w:firstLineChars="200"/>
        <w:rPr>
          <w:rFonts w:ascii="宋体" w:hAnsi="宋体"/>
          <w:sz w:val="24"/>
        </w:rPr>
      </w:pPr>
      <w:r>
        <w:rPr>
          <w:rFonts w:hint="eastAsia" w:ascii="宋体" w:hAnsi="宋体"/>
          <w:sz w:val="24"/>
        </w:rPr>
        <w:t>6.5</w:t>
      </w:r>
      <w:r>
        <w:rPr>
          <w:rFonts w:ascii="宋体" w:hAnsi="宋体"/>
          <w:sz w:val="24"/>
        </w:rPr>
        <w:t>项目实施期间除非甲方根据项目实施效果提出更换项目团队人员，否则乙方不得随意更换项目团队人员。</w:t>
      </w:r>
    </w:p>
    <w:p>
      <w:pPr>
        <w:spacing w:line="480" w:lineRule="auto"/>
        <w:ind w:firstLine="506" w:firstLineChars="200"/>
        <w:rPr>
          <w:rFonts w:ascii="宋体" w:hAnsi="宋体"/>
          <w:b/>
          <w:bCs/>
          <w:sz w:val="24"/>
        </w:rPr>
      </w:pPr>
      <w:r>
        <w:rPr>
          <w:rFonts w:ascii="宋体" w:hAnsi="宋体"/>
          <w:b/>
          <w:bCs/>
          <w:w w:val="105"/>
          <w:sz w:val="24"/>
        </w:rPr>
        <w:t>7、搬迁项目风险管控</w:t>
      </w:r>
    </w:p>
    <w:p>
      <w:pPr>
        <w:spacing w:line="480" w:lineRule="auto"/>
        <w:ind w:firstLine="480" w:firstLineChars="200"/>
        <w:jc w:val="left"/>
        <w:rPr>
          <w:rFonts w:ascii="宋体" w:hAnsi="宋体"/>
          <w:sz w:val="24"/>
        </w:rPr>
      </w:pPr>
      <w:r>
        <w:rPr>
          <w:rFonts w:ascii="宋体" w:hAnsi="宋体"/>
          <w:sz w:val="24"/>
        </w:rPr>
        <w:t>7.1搬迁项目供应商应保证所购买保险覆盖搬迁作业全过程，包括旧址测试、拆机、移动、包装、运输、卸货、搬运、安装、调试、新址测试；</w:t>
      </w:r>
    </w:p>
    <w:p>
      <w:pPr>
        <w:spacing w:line="480" w:lineRule="auto"/>
        <w:ind w:firstLine="480" w:firstLineChars="200"/>
        <w:jc w:val="left"/>
        <w:rPr>
          <w:rFonts w:ascii="宋体" w:hAnsi="宋体"/>
          <w:sz w:val="24"/>
        </w:rPr>
      </w:pPr>
      <w:r>
        <w:rPr>
          <w:rFonts w:ascii="宋体" w:hAnsi="宋体"/>
          <w:sz w:val="24"/>
        </w:rPr>
        <w:t>7.2供应商须在磋商文件中附本项目投保内容及金额承诺书并加盖公章；</w:t>
      </w:r>
    </w:p>
    <w:p>
      <w:pPr>
        <w:spacing w:line="480" w:lineRule="auto"/>
        <w:ind w:firstLine="480" w:firstLineChars="200"/>
        <w:jc w:val="left"/>
        <w:rPr>
          <w:rFonts w:ascii="宋体" w:hAnsi="宋体"/>
          <w:sz w:val="24"/>
        </w:rPr>
      </w:pPr>
      <w:r>
        <w:rPr>
          <w:rFonts w:ascii="宋体" w:hAnsi="宋体"/>
          <w:sz w:val="24"/>
        </w:rPr>
        <w:t>7.3搬迁项目供应商应提供可行性的应急处置方案并获得甲方的认可，包括但不限于以下内容：</w:t>
      </w:r>
    </w:p>
    <w:tbl>
      <w:tblPr>
        <w:tblStyle w:val="13"/>
        <w:tblW w:w="9329" w:type="dxa"/>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107"/>
        <w:gridCol w:w="822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bottom w:val="single" w:color="000000" w:sz="6" w:space="0"/>
              <w:right w:val="single" w:color="000000" w:sz="6" w:space="0"/>
            </w:tcBorders>
            <w:vAlign w:val="center"/>
          </w:tcPr>
          <w:p>
            <w:pPr>
              <w:pStyle w:val="25"/>
              <w:spacing w:before="1" w:line="480" w:lineRule="auto"/>
              <w:ind w:left="212" w:right="193" w:firstLine="126" w:firstLineChars="50"/>
              <w:jc w:val="center"/>
              <w:rPr>
                <w:rFonts w:ascii="宋体" w:hAnsi="宋体" w:eastAsia="宋体"/>
                <w:sz w:val="24"/>
                <w:szCs w:val="24"/>
              </w:rPr>
            </w:pPr>
            <w:r>
              <w:rPr>
                <w:rFonts w:hint="eastAsia" w:ascii="宋体" w:hAnsi="宋体" w:eastAsia="宋体"/>
                <w:w w:val="105"/>
                <w:sz w:val="24"/>
                <w:szCs w:val="24"/>
              </w:rPr>
              <w:t>序号</w:t>
            </w:r>
          </w:p>
        </w:tc>
        <w:tc>
          <w:tcPr>
            <w:tcW w:w="8222" w:type="dxa"/>
            <w:tcBorders>
              <w:left w:val="single" w:color="000000" w:sz="6" w:space="0"/>
              <w:bottom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预案名称</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top w:val="single" w:color="000000" w:sz="6" w:space="0"/>
              <w:bottom w:val="single" w:color="000000" w:sz="6" w:space="0"/>
              <w:right w:val="single" w:color="000000" w:sz="6" w:space="0"/>
            </w:tcBorders>
            <w:vAlign w:val="center"/>
          </w:tcPr>
          <w:p>
            <w:pPr>
              <w:pStyle w:val="25"/>
              <w:spacing w:before="1" w:line="480" w:lineRule="auto"/>
              <w:ind w:left="19" w:firstLine="123" w:firstLineChars="50"/>
              <w:jc w:val="center"/>
              <w:rPr>
                <w:rFonts w:ascii="宋体" w:hAnsi="宋体" w:eastAsia="宋体"/>
                <w:sz w:val="24"/>
                <w:szCs w:val="24"/>
              </w:rPr>
            </w:pPr>
            <w:r>
              <w:rPr>
                <w:rFonts w:ascii="宋体" w:hAnsi="宋体" w:eastAsia="宋体"/>
                <w:w w:val="103"/>
                <w:sz w:val="24"/>
                <w:szCs w:val="24"/>
              </w:rPr>
              <w:t>1</w:t>
            </w:r>
          </w:p>
        </w:tc>
        <w:tc>
          <w:tcPr>
            <w:tcW w:w="8222" w:type="dxa"/>
            <w:tcBorders>
              <w:top w:val="single" w:color="000000" w:sz="6" w:space="0"/>
              <w:left w:val="single" w:color="000000" w:sz="6" w:space="0"/>
              <w:bottom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危险化学品泄漏事故</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top w:val="single" w:color="000000" w:sz="6" w:space="0"/>
              <w:bottom w:val="single" w:color="000000" w:sz="6" w:space="0"/>
              <w:right w:val="single" w:color="000000" w:sz="6" w:space="0"/>
            </w:tcBorders>
            <w:vAlign w:val="center"/>
          </w:tcPr>
          <w:p>
            <w:pPr>
              <w:pStyle w:val="25"/>
              <w:spacing w:before="1" w:line="480" w:lineRule="auto"/>
              <w:ind w:left="19" w:firstLine="123" w:firstLineChars="50"/>
              <w:jc w:val="center"/>
              <w:rPr>
                <w:rFonts w:ascii="宋体" w:hAnsi="宋体" w:eastAsia="宋体"/>
                <w:sz w:val="24"/>
                <w:szCs w:val="24"/>
              </w:rPr>
            </w:pPr>
            <w:r>
              <w:rPr>
                <w:rFonts w:ascii="宋体" w:hAnsi="宋体" w:eastAsia="宋体"/>
                <w:w w:val="103"/>
                <w:sz w:val="24"/>
                <w:szCs w:val="24"/>
              </w:rPr>
              <w:t>2</w:t>
            </w:r>
          </w:p>
        </w:tc>
        <w:tc>
          <w:tcPr>
            <w:tcW w:w="8222" w:type="dxa"/>
            <w:tcBorders>
              <w:top w:val="single" w:color="000000" w:sz="6" w:space="0"/>
              <w:left w:val="single" w:color="000000" w:sz="6" w:space="0"/>
              <w:bottom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实验室火灾</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top w:val="single" w:color="000000" w:sz="6" w:space="0"/>
              <w:bottom w:val="single" w:color="000000" w:sz="6" w:space="0"/>
              <w:right w:val="single" w:color="000000" w:sz="6" w:space="0"/>
            </w:tcBorders>
            <w:vAlign w:val="center"/>
          </w:tcPr>
          <w:p>
            <w:pPr>
              <w:pStyle w:val="25"/>
              <w:spacing w:before="1" w:line="480" w:lineRule="auto"/>
              <w:ind w:left="19" w:firstLine="123" w:firstLineChars="50"/>
              <w:jc w:val="center"/>
              <w:rPr>
                <w:rFonts w:ascii="宋体" w:hAnsi="宋体" w:eastAsia="宋体"/>
                <w:sz w:val="24"/>
                <w:szCs w:val="24"/>
              </w:rPr>
            </w:pPr>
            <w:r>
              <w:rPr>
                <w:rFonts w:ascii="宋体" w:hAnsi="宋体" w:eastAsia="宋体"/>
                <w:w w:val="103"/>
                <w:sz w:val="24"/>
                <w:szCs w:val="24"/>
              </w:rPr>
              <w:t>3</w:t>
            </w:r>
          </w:p>
        </w:tc>
        <w:tc>
          <w:tcPr>
            <w:tcW w:w="8222" w:type="dxa"/>
            <w:tcBorders>
              <w:top w:val="single" w:color="000000" w:sz="6" w:space="0"/>
              <w:left w:val="single" w:color="000000" w:sz="6" w:space="0"/>
              <w:bottom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实验室爆炸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top w:val="single" w:color="000000" w:sz="6" w:space="0"/>
              <w:bottom w:val="single" w:color="000000" w:sz="6" w:space="0"/>
              <w:right w:val="single" w:color="000000" w:sz="6" w:space="0"/>
            </w:tcBorders>
            <w:vAlign w:val="center"/>
          </w:tcPr>
          <w:p>
            <w:pPr>
              <w:pStyle w:val="25"/>
              <w:spacing w:before="1" w:line="480" w:lineRule="auto"/>
              <w:ind w:left="19" w:firstLine="123" w:firstLineChars="50"/>
              <w:jc w:val="center"/>
              <w:rPr>
                <w:rFonts w:ascii="宋体" w:hAnsi="宋体" w:eastAsia="宋体"/>
                <w:sz w:val="24"/>
                <w:szCs w:val="24"/>
              </w:rPr>
            </w:pPr>
            <w:r>
              <w:rPr>
                <w:rFonts w:ascii="宋体" w:hAnsi="宋体" w:eastAsia="宋体"/>
                <w:w w:val="103"/>
                <w:sz w:val="24"/>
                <w:szCs w:val="24"/>
              </w:rPr>
              <w:t>4</w:t>
            </w:r>
          </w:p>
        </w:tc>
        <w:tc>
          <w:tcPr>
            <w:tcW w:w="8222" w:type="dxa"/>
            <w:tcBorders>
              <w:top w:val="single" w:color="000000" w:sz="6" w:space="0"/>
              <w:left w:val="single" w:color="000000" w:sz="6" w:space="0"/>
              <w:bottom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实验室中毒</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top w:val="single" w:color="000000" w:sz="6" w:space="0"/>
              <w:bottom w:val="single" w:color="000000" w:sz="6" w:space="0"/>
              <w:right w:val="single" w:color="000000" w:sz="6" w:space="0"/>
            </w:tcBorders>
            <w:vAlign w:val="center"/>
          </w:tcPr>
          <w:p>
            <w:pPr>
              <w:pStyle w:val="25"/>
              <w:spacing w:before="1" w:line="480" w:lineRule="auto"/>
              <w:ind w:left="19" w:firstLine="123" w:firstLineChars="50"/>
              <w:jc w:val="center"/>
              <w:rPr>
                <w:rFonts w:ascii="宋体" w:hAnsi="宋体" w:eastAsia="宋体"/>
                <w:sz w:val="24"/>
                <w:szCs w:val="24"/>
              </w:rPr>
            </w:pPr>
            <w:r>
              <w:rPr>
                <w:rFonts w:ascii="宋体" w:hAnsi="宋体" w:eastAsia="宋体"/>
                <w:w w:val="103"/>
                <w:sz w:val="24"/>
                <w:szCs w:val="24"/>
              </w:rPr>
              <w:t>5</w:t>
            </w:r>
          </w:p>
        </w:tc>
        <w:tc>
          <w:tcPr>
            <w:tcW w:w="8222" w:type="dxa"/>
            <w:tcBorders>
              <w:top w:val="single" w:color="000000" w:sz="6" w:space="0"/>
              <w:left w:val="single" w:color="000000" w:sz="6" w:space="0"/>
              <w:bottom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实验室触电</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4" w:hRule="atLeast"/>
          <w:jc w:val="center"/>
        </w:trPr>
        <w:tc>
          <w:tcPr>
            <w:tcW w:w="1107" w:type="dxa"/>
            <w:tcBorders>
              <w:top w:val="single" w:color="000000" w:sz="6" w:space="0"/>
              <w:right w:val="single" w:color="000000" w:sz="6" w:space="0"/>
            </w:tcBorders>
            <w:vAlign w:val="center"/>
          </w:tcPr>
          <w:p>
            <w:pPr>
              <w:pStyle w:val="25"/>
              <w:spacing w:before="1" w:line="480" w:lineRule="auto"/>
              <w:ind w:left="19" w:firstLine="123" w:firstLineChars="50"/>
              <w:jc w:val="center"/>
              <w:rPr>
                <w:rFonts w:ascii="宋体" w:hAnsi="宋体" w:eastAsia="宋体"/>
                <w:sz w:val="24"/>
                <w:szCs w:val="24"/>
              </w:rPr>
            </w:pPr>
            <w:r>
              <w:rPr>
                <w:rFonts w:ascii="宋体" w:hAnsi="宋体" w:eastAsia="宋体"/>
                <w:w w:val="103"/>
                <w:sz w:val="24"/>
                <w:szCs w:val="24"/>
              </w:rPr>
              <w:t>6</w:t>
            </w:r>
          </w:p>
        </w:tc>
        <w:tc>
          <w:tcPr>
            <w:tcW w:w="8222" w:type="dxa"/>
            <w:tcBorders>
              <w:top w:val="single" w:color="000000" w:sz="6" w:space="0"/>
              <w:left w:val="single" w:color="000000" w:sz="6" w:space="0"/>
            </w:tcBorders>
            <w:vAlign w:val="center"/>
          </w:tcPr>
          <w:p>
            <w:pPr>
              <w:pStyle w:val="25"/>
              <w:spacing w:before="1" w:line="480" w:lineRule="auto"/>
              <w:ind w:left="1636" w:right="1600" w:firstLine="126" w:firstLineChars="50"/>
              <w:jc w:val="center"/>
              <w:rPr>
                <w:rFonts w:ascii="宋体" w:hAnsi="宋体" w:eastAsia="宋体"/>
                <w:sz w:val="24"/>
                <w:szCs w:val="24"/>
              </w:rPr>
            </w:pPr>
            <w:r>
              <w:rPr>
                <w:rFonts w:hint="eastAsia" w:ascii="宋体" w:hAnsi="宋体" w:eastAsia="宋体"/>
                <w:w w:val="105"/>
                <w:sz w:val="24"/>
                <w:szCs w:val="24"/>
              </w:rPr>
              <w:t>实验室化学灼伤</w:t>
            </w:r>
          </w:p>
        </w:tc>
      </w:tr>
    </w:tbl>
    <w:p>
      <w:pPr>
        <w:spacing w:line="480" w:lineRule="auto"/>
        <w:ind w:firstLine="480" w:firstLineChars="200"/>
        <w:jc w:val="left"/>
        <w:rPr>
          <w:rFonts w:ascii="宋体" w:hAnsi="宋体"/>
          <w:sz w:val="24"/>
        </w:rPr>
      </w:pPr>
      <w:r>
        <w:rPr>
          <w:rFonts w:ascii="宋体" w:hAnsi="宋体"/>
          <w:sz w:val="24"/>
        </w:rPr>
        <w:t>7.4搬迁项目供应商应在整体搬迁工作开始前与采购各单位充分沟通仪器设备搬迁需求；</w:t>
      </w:r>
    </w:p>
    <w:p>
      <w:pPr>
        <w:spacing w:line="480" w:lineRule="auto"/>
        <w:ind w:firstLine="480" w:firstLineChars="200"/>
        <w:jc w:val="left"/>
        <w:rPr>
          <w:rFonts w:ascii="宋体" w:hAnsi="宋体"/>
          <w:sz w:val="24"/>
        </w:rPr>
      </w:pPr>
      <w:r>
        <w:rPr>
          <w:rFonts w:ascii="宋体" w:hAnsi="宋体"/>
          <w:sz w:val="24"/>
        </w:rPr>
        <w:t>7.5在搬迁过程中，供应商的搬迁人员的人身安全由供应商负责。</w:t>
      </w:r>
    </w:p>
    <w:p>
      <w:pPr>
        <w:spacing w:line="480" w:lineRule="auto"/>
        <w:ind w:firstLine="482" w:firstLineChars="200"/>
        <w:jc w:val="left"/>
        <w:rPr>
          <w:rFonts w:ascii="宋体" w:hAnsi="宋体"/>
          <w:b/>
          <w:bCs/>
          <w:sz w:val="24"/>
        </w:rPr>
      </w:pPr>
      <w:r>
        <w:rPr>
          <w:rFonts w:hint="eastAsia" w:ascii="宋体" w:hAnsi="宋体"/>
          <w:b/>
          <w:bCs/>
          <w:sz w:val="24"/>
        </w:rPr>
        <w:t>7.6供应商应为所有操作人员购买</w:t>
      </w:r>
      <w:r>
        <w:rPr>
          <w:rFonts w:hint="eastAsia" w:ascii="宋体" w:hAnsi="宋体" w:cs="宋体"/>
          <w:b/>
          <w:bCs/>
          <w:sz w:val="24"/>
        </w:rPr>
        <w:t>人身保险，并负责搬运过程中的所有安全责任，如造成第三方人身安全事故的，供应商负全部责任，并赔偿所有损失。</w:t>
      </w:r>
    </w:p>
    <w:p>
      <w:pPr>
        <w:spacing w:line="480" w:lineRule="auto"/>
        <w:rPr>
          <w:rFonts w:ascii="宋体" w:hAnsi="宋体"/>
          <w:b/>
          <w:bCs/>
          <w:sz w:val="24"/>
        </w:rPr>
      </w:pPr>
      <w:r>
        <w:rPr>
          <w:rFonts w:ascii="宋体" w:hAnsi="宋体"/>
          <w:b/>
          <w:bCs/>
          <w:w w:val="105"/>
          <w:sz w:val="24"/>
        </w:rPr>
        <w:t>8、验收</w:t>
      </w:r>
    </w:p>
    <w:p>
      <w:pPr>
        <w:spacing w:line="480" w:lineRule="auto"/>
        <w:ind w:firstLine="480" w:firstLineChars="200"/>
        <w:jc w:val="left"/>
        <w:rPr>
          <w:rFonts w:ascii="宋体" w:hAnsi="宋体"/>
          <w:sz w:val="24"/>
        </w:rPr>
      </w:pPr>
      <w:r>
        <w:rPr>
          <w:rFonts w:ascii="宋体" w:hAnsi="宋体"/>
          <w:sz w:val="24"/>
        </w:rPr>
        <w:t>8.1仪器送达指定位置后，按装箱单逐项清点，确保数量和发运前一致。到达新实验室的仪器必须和装箱单中标明的名称、型号、数量、资产编号一致；搬迁前后对仪器做资料存档，确保搬迁后仪器及附件外观较搬迁前无新增破损、锈蚀、碰伤等；</w:t>
      </w:r>
    </w:p>
    <w:p>
      <w:pPr>
        <w:spacing w:line="480" w:lineRule="auto"/>
        <w:ind w:firstLine="480" w:firstLineChars="200"/>
        <w:jc w:val="left"/>
        <w:rPr>
          <w:rFonts w:ascii="宋体" w:hAnsi="宋体"/>
          <w:sz w:val="24"/>
        </w:rPr>
      </w:pPr>
      <w:r>
        <w:rPr>
          <w:rFonts w:ascii="宋体" w:hAnsi="宋体"/>
          <w:sz w:val="24"/>
        </w:rPr>
        <w:t>8.2仪器设备的验收标准：仪器设备搬迁前后，应根据使用部门的要求进行必要的测试，保证前后性能一致或达到仪器设备生厂标准。当采购人和成交人对验收测试有争议时，委托第三方校准机构检测，以第三方校准机构测试结果为准，校准费用由成交人负责。</w:t>
      </w:r>
    </w:p>
    <w:p>
      <w:pPr>
        <w:spacing w:line="480" w:lineRule="auto"/>
        <w:ind w:firstLine="480" w:firstLineChars="200"/>
        <w:jc w:val="left"/>
        <w:rPr>
          <w:rFonts w:ascii="宋体" w:hAnsi="宋体"/>
          <w:sz w:val="24"/>
        </w:rPr>
      </w:pPr>
      <w:r>
        <w:rPr>
          <w:rFonts w:ascii="宋体" w:hAnsi="宋体"/>
          <w:sz w:val="24"/>
        </w:rPr>
        <w:t>8.3配套检测设备/装置、电脑打印机的验收标准：搬迁前后数量一致，外观无新增破损、锈蚀、碰伤，设备/ 装置功能正常，否则进行更新赔偿。</w:t>
      </w:r>
    </w:p>
    <w:p>
      <w:pPr>
        <w:spacing w:line="480" w:lineRule="auto"/>
        <w:ind w:firstLine="480" w:firstLineChars="200"/>
        <w:jc w:val="left"/>
        <w:rPr>
          <w:rFonts w:ascii="宋体" w:hAnsi="宋体"/>
          <w:sz w:val="24"/>
        </w:rPr>
      </w:pPr>
      <w:r>
        <w:rPr>
          <w:rFonts w:hint="eastAsia" w:ascii="宋体" w:hAnsi="宋体"/>
          <w:sz w:val="24"/>
        </w:rPr>
        <w:t>9、事故及损害赔偿</w:t>
      </w:r>
    </w:p>
    <w:p>
      <w:pPr>
        <w:spacing w:line="480" w:lineRule="auto"/>
        <w:ind w:firstLine="480" w:firstLineChars="200"/>
        <w:jc w:val="left"/>
        <w:rPr>
          <w:rFonts w:ascii="宋体" w:hAnsi="宋体"/>
          <w:sz w:val="24"/>
        </w:rPr>
      </w:pPr>
      <w:r>
        <w:rPr>
          <w:rFonts w:hint="eastAsia" w:ascii="宋体" w:hAnsi="宋体"/>
          <w:sz w:val="24"/>
        </w:rPr>
        <w:t>成交人应做好搬运现场的保护工作，对于搬迁过程中涉及到的实施现场（如电梯、地面、墙面、道路、楼梯、门窗、家具等）做到有效保护，如有损坏，按市场价价进行赔偿。</w:t>
      </w:r>
    </w:p>
    <w:p>
      <w:pPr>
        <w:spacing w:line="480" w:lineRule="auto"/>
        <w:ind w:firstLine="480" w:firstLineChars="200"/>
        <w:jc w:val="left"/>
        <w:rPr>
          <w:rFonts w:ascii="宋体" w:hAnsi="宋体"/>
          <w:sz w:val="24"/>
        </w:rPr>
      </w:pPr>
      <w:r>
        <w:rPr>
          <w:rFonts w:hint="eastAsia" w:ascii="宋体" w:hAnsi="宋体"/>
          <w:sz w:val="24"/>
        </w:rPr>
        <w:t>10、供应商能力和资质证书</w:t>
      </w:r>
    </w:p>
    <w:p>
      <w:pPr>
        <w:spacing w:line="480" w:lineRule="auto"/>
        <w:ind w:firstLine="480" w:firstLineChars="200"/>
        <w:jc w:val="left"/>
        <w:rPr>
          <w:rFonts w:ascii="宋体" w:hAnsi="宋体"/>
          <w:sz w:val="24"/>
        </w:rPr>
      </w:pPr>
      <w:r>
        <w:rPr>
          <w:rFonts w:hint="eastAsia" w:ascii="宋体" w:hAnsi="宋体"/>
          <w:sz w:val="24"/>
        </w:rPr>
        <w:t>供应商须提供如下搬迁资质证书：</w:t>
      </w:r>
    </w:p>
    <w:p>
      <w:pPr>
        <w:spacing w:line="480" w:lineRule="auto"/>
        <w:ind w:firstLine="480" w:firstLineChars="200"/>
        <w:jc w:val="left"/>
        <w:rPr>
          <w:rFonts w:ascii="宋体" w:hAnsi="宋体"/>
          <w:sz w:val="24"/>
        </w:rPr>
      </w:pPr>
      <w:r>
        <w:rPr>
          <w:rFonts w:hint="eastAsia" w:ascii="宋体" w:hAnsi="宋体"/>
          <w:sz w:val="24"/>
        </w:rPr>
        <w:t>（1）GB/T 19001或ISO9001质量管理体系认证；</w:t>
      </w:r>
    </w:p>
    <w:p>
      <w:pPr>
        <w:spacing w:line="480" w:lineRule="auto"/>
        <w:ind w:firstLine="480" w:firstLineChars="200"/>
        <w:jc w:val="left"/>
        <w:rPr>
          <w:rFonts w:ascii="宋体" w:hAnsi="宋体"/>
          <w:sz w:val="24"/>
        </w:rPr>
      </w:pPr>
      <w:r>
        <w:rPr>
          <w:rFonts w:hint="eastAsia" w:ascii="宋体" w:hAnsi="宋体"/>
          <w:sz w:val="24"/>
        </w:rPr>
        <w:t>（2）GB/T 24001或ISO14001环境管理体系认证；</w:t>
      </w:r>
    </w:p>
    <w:p>
      <w:pPr>
        <w:spacing w:line="480" w:lineRule="auto"/>
        <w:ind w:firstLine="480" w:firstLineChars="200"/>
        <w:jc w:val="left"/>
        <w:rPr>
          <w:rFonts w:ascii="宋体" w:hAnsi="宋体"/>
          <w:sz w:val="24"/>
        </w:rPr>
      </w:pPr>
      <w:r>
        <w:rPr>
          <w:rFonts w:hint="eastAsia" w:ascii="宋体" w:hAnsi="宋体"/>
          <w:sz w:val="24"/>
        </w:rPr>
        <w:t>（3）GB/T 28001或ISO45001职业健康与安全管理体系认证。</w:t>
      </w:r>
    </w:p>
    <w:p>
      <w:pPr>
        <w:spacing w:line="480" w:lineRule="auto"/>
        <w:ind w:firstLine="480" w:firstLineChars="200"/>
        <w:jc w:val="left"/>
        <w:rPr>
          <w:rFonts w:ascii="宋体" w:hAnsi="宋体"/>
          <w:sz w:val="24"/>
        </w:rPr>
      </w:pPr>
      <w:r>
        <w:rPr>
          <w:rFonts w:hint="eastAsia" w:ascii="宋体" w:hAnsi="宋体"/>
          <w:sz w:val="24"/>
        </w:rPr>
        <w:t>以上认证内容均需与实验室设备技术服务相关的范围方视为有效资质，其它与本项目无关的认证范围不得分。</w:t>
      </w:r>
    </w:p>
    <w:p>
      <w:pPr>
        <w:spacing w:line="480" w:lineRule="auto"/>
        <w:ind w:firstLine="480" w:firstLineChars="200"/>
        <w:jc w:val="left"/>
        <w:rPr>
          <w:rFonts w:ascii="宋体" w:hAnsi="宋体"/>
          <w:sz w:val="24"/>
        </w:rPr>
      </w:pPr>
      <w:r>
        <w:rPr>
          <w:rFonts w:hint="eastAsia" w:ascii="宋体" w:hAnsi="宋体"/>
          <w:sz w:val="24"/>
        </w:rPr>
        <w:t>11、其它要求</w:t>
      </w:r>
    </w:p>
    <w:p>
      <w:pPr>
        <w:spacing w:line="480" w:lineRule="auto"/>
        <w:ind w:firstLine="480" w:firstLineChars="200"/>
        <w:jc w:val="left"/>
        <w:rPr>
          <w:rFonts w:ascii="宋体" w:hAnsi="宋体"/>
          <w:sz w:val="24"/>
        </w:rPr>
      </w:pPr>
      <w:r>
        <w:rPr>
          <w:rFonts w:hint="eastAsia" w:ascii="宋体" w:hAnsi="宋体"/>
          <w:sz w:val="24"/>
        </w:rPr>
        <w:t>项目需执行国家相关行政主管部门颁布的强制标准、行业标准、地方标准或者行业规范（以国家和行业规定的标准和规范为准，有新标准按新标准执行）</w:t>
      </w:r>
    </w:p>
    <w:p>
      <w:pPr>
        <w:spacing w:line="480" w:lineRule="auto"/>
        <w:ind w:firstLine="480" w:firstLineChars="200"/>
        <w:jc w:val="left"/>
        <w:rPr>
          <w:rFonts w:ascii="宋体" w:hAnsi="宋体"/>
          <w:sz w:val="24"/>
        </w:rPr>
      </w:pPr>
      <w:r>
        <w:rPr>
          <w:rFonts w:hint="eastAsia" w:ascii="宋体" w:hAnsi="宋体"/>
          <w:sz w:val="24"/>
        </w:rPr>
        <w:t>（1）项目执行阶段参照GB/T 19001质量管理体系、GB/T 24001环境管理体系、GB/T 45001职业健康与安全管理体系认证、GB/T 23580-2009连续搬运设备安全规范等；</w:t>
      </w:r>
    </w:p>
    <w:p>
      <w:pPr>
        <w:spacing w:line="480" w:lineRule="auto"/>
        <w:ind w:firstLine="480" w:firstLineChars="200"/>
        <w:jc w:val="left"/>
        <w:rPr>
          <w:rFonts w:ascii="宋体" w:hAnsi="宋体"/>
          <w:sz w:val="24"/>
        </w:rPr>
        <w:sectPr>
          <w:pgSz w:w="11906" w:h="16838"/>
          <w:pgMar w:top="1440" w:right="1800" w:bottom="1440" w:left="1800" w:header="851" w:footer="992" w:gutter="0"/>
          <w:cols w:space="425" w:num="1"/>
          <w:docGrid w:type="lines" w:linePitch="312" w:charSpace="0"/>
        </w:sectPr>
      </w:pPr>
      <w:r>
        <w:rPr>
          <w:rFonts w:hint="eastAsia" w:ascii="宋体" w:hAnsi="宋体"/>
          <w:sz w:val="24"/>
        </w:rPr>
        <w:t>（2）实验室新址环境评价需遵循GB/T 27025检测和校准实验室能力的通用要求的相关规定。</w:t>
      </w:r>
    </w:p>
    <w:p>
      <w:pPr>
        <w:pStyle w:val="2"/>
      </w:pPr>
      <w:r>
        <w:rPr>
          <w:rFonts w:hint="eastAsia"/>
        </w:rPr>
        <w:t>三、评分准则</w:t>
      </w:r>
    </w:p>
    <w:p>
      <w:pPr>
        <w:widowControl/>
        <w:adjustRightInd w:val="0"/>
        <w:snapToGrid w:val="0"/>
        <w:spacing w:line="360" w:lineRule="auto"/>
        <w:jc w:val="left"/>
        <w:rPr>
          <w:rFonts w:ascii="宋体" w:hAnsi="宋体"/>
          <w:sz w:val="24"/>
        </w:rPr>
      </w:pPr>
    </w:p>
    <w:tbl>
      <w:tblPr>
        <w:tblStyle w:val="1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678"/>
        <w:gridCol w:w="7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Align w:val="center"/>
          </w:tcPr>
          <w:p>
            <w:pPr>
              <w:jc w:val="center"/>
              <w:rPr>
                <w:rFonts w:ascii="宋体" w:hAnsi="宋体" w:cs="宋体"/>
                <w:b/>
                <w:bCs/>
                <w:szCs w:val="21"/>
              </w:rPr>
            </w:pPr>
            <w:r>
              <w:rPr>
                <w:rFonts w:hint="eastAsia" w:ascii="宋体" w:hAnsi="宋体" w:cs="宋体"/>
                <w:b/>
                <w:bCs/>
                <w:szCs w:val="21"/>
              </w:rPr>
              <w:t>评审因素</w:t>
            </w:r>
          </w:p>
        </w:tc>
        <w:tc>
          <w:tcPr>
            <w:tcW w:w="678" w:type="dxa"/>
            <w:vAlign w:val="center"/>
          </w:tcPr>
          <w:p>
            <w:pPr>
              <w:jc w:val="center"/>
              <w:rPr>
                <w:rFonts w:ascii="宋体" w:hAnsi="宋体" w:cs="宋体"/>
                <w:b/>
                <w:bCs/>
                <w:szCs w:val="21"/>
              </w:rPr>
            </w:pPr>
            <w:r>
              <w:rPr>
                <w:rFonts w:hint="eastAsia" w:ascii="宋体" w:hAnsi="宋体" w:cs="宋体"/>
                <w:b/>
                <w:bCs/>
                <w:szCs w:val="21"/>
              </w:rPr>
              <w:t>分值</w:t>
            </w:r>
          </w:p>
        </w:tc>
        <w:tc>
          <w:tcPr>
            <w:tcW w:w="7267" w:type="dxa"/>
            <w:vAlign w:val="center"/>
          </w:tcPr>
          <w:p>
            <w:pPr>
              <w:jc w:val="center"/>
              <w:rPr>
                <w:rFonts w:ascii="宋体" w:hAnsi="宋体" w:cs="宋体"/>
                <w:b/>
                <w:bCs/>
                <w:szCs w:val="21"/>
              </w:rPr>
            </w:pPr>
            <w:r>
              <w:rPr>
                <w:rFonts w:hint="eastAsia" w:ascii="宋体" w:hAnsi="宋体" w:cs="宋体"/>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28" w:type="dxa"/>
            <w:gridSpan w:val="3"/>
            <w:vAlign w:val="center"/>
          </w:tcPr>
          <w:p>
            <w:pPr>
              <w:jc w:val="center"/>
              <w:rPr>
                <w:rFonts w:ascii="宋体" w:hAnsi="宋体" w:cs="宋体"/>
                <w:szCs w:val="21"/>
              </w:rPr>
            </w:pPr>
            <w:r>
              <w:rPr>
                <w:rFonts w:hint="eastAsia" w:ascii="宋体" w:hAnsi="宋体" w:cs="宋体"/>
                <w:b/>
                <w:bCs/>
                <w:szCs w:val="21"/>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投标报价</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0-</w:t>
            </w:r>
            <w:r>
              <w:rPr>
                <w:rFonts w:hint="eastAsia" w:ascii="宋体" w:hAnsi="宋体" w:cs="宋体"/>
                <w:b/>
                <w:bCs/>
                <w:szCs w:val="21"/>
                <w:lang w:val="en-US" w:eastAsia="zh-CN"/>
              </w:rPr>
              <w:t>2</w:t>
            </w:r>
            <w:r>
              <w:rPr>
                <w:rFonts w:hint="eastAsia" w:ascii="宋体" w:hAnsi="宋体" w:cs="宋体"/>
                <w:b/>
                <w:bCs/>
                <w:szCs w:val="21"/>
              </w:rPr>
              <w:t>0</w:t>
            </w:r>
          </w:p>
        </w:tc>
        <w:tc>
          <w:tcPr>
            <w:tcW w:w="7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价格分采用低价优先法计算，即满足招标文件要求且投标价格最低的投标报价为评标基准价，其他投标人的价格分按照下列公式计算：</w:t>
            </w:r>
          </w:p>
          <w:p>
            <w:pPr>
              <w:rPr>
                <w:rFonts w:ascii="宋体" w:hAnsi="宋体" w:cs="宋体"/>
                <w:szCs w:val="21"/>
              </w:rPr>
            </w:pPr>
            <w:r>
              <w:rPr>
                <w:rFonts w:hint="eastAsia" w:ascii="宋体" w:hAnsi="宋体" w:cs="宋体"/>
                <w:szCs w:val="21"/>
              </w:rPr>
              <w:t>价格分=（评标基准价/投标报价）×</w:t>
            </w:r>
            <w:r>
              <w:rPr>
                <w:rFonts w:hint="eastAsia" w:ascii="宋体" w:hAnsi="宋体" w:cs="宋体"/>
                <w:szCs w:val="21"/>
                <w:lang w:val="en-US" w:eastAsia="zh-CN"/>
              </w:rPr>
              <w:t>20</w:t>
            </w: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28" w:type="dxa"/>
            <w:gridSpan w:val="3"/>
            <w:vAlign w:val="center"/>
          </w:tcPr>
          <w:p>
            <w:pPr>
              <w:jc w:val="center"/>
              <w:rPr>
                <w:rFonts w:ascii="宋体" w:hAnsi="宋体" w:cs="宋体"/>
                <w:szCs w:val="21"/>
              </w:rPr>
            </w:pPr>
            <w:r>
              <w:rPr>
                <w:rFonts w:hint="eastAsia" w:ascii="宋体" w:hAnsi="宋体" w:cs="宋体"/>
                <w:b/>
                <w:bCs/>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Align w:val="center"/>
          </w:tcPr>
          <w:p>
            <w:pPr>
              <w:jc w:val="center"/>
              <w:rPr>
                <w:rFonts w:ascii="宋体" w:hAnsi="宋体" w:cs="宋体"/>
                <w:b/>
                <w:bCs/>
                <w:szCs w:val="21"/>
              </w:rPr>
            </w:pPr>
            <w:r>
              <w:rPr>
                <w:rFonts w:hint="eastAsia" w:ascii="宋体" w:hAnsi="宋体" w:cs="宋体"/>
                <w:b/>
                <w:bCs/>
                <w:szCs w:val="21"/>
              </w:rPr>
              <w:t>业绩</w:t>
            </w:r>
          </w:p>
        </w:tc>
        <w:tc>
          <w:tcPr>
            <w:tcW w:w="678" w:type="dxa"/>
            <w:vAlign w:val="center"/>
          </w:tcPr>
          <w:p>
            <w:pPr>
              <w:jc w:val="center"/>
              <w:rPr>
                <w:rFonts w:ascii="宋体" w:hAnsi="宋体" w:cs="宋体"/>
                <w:b/>
                <w:bCs/>
                <w:szCs w:val="21"/>
              </w:rPr>
            </w:pPr>
            <w:r>
              <w:rPr>
                <w:rFonts w:hint="eastAsia" w:ascii="宋体" w:hAnsi="宋体" w:cs="宋体"/>
                <w:b/>
                <w:bCs/>
                <w:szCs w:val="21"/>
              </w:rPr>
              <w:t>0-5</w:t>
            </w:r>
          </w:p>
        </w:tc>
        <w:tc>
          <w:tcPr>
            <w:tcW w:w="7267" w:type="dxa"/>
            <w:vAlign w:val="center"/>
          </w:tcPr>
          <w:p>
            <w:pPr>
              <w:rPr>
                <w:rFonts w:ascii="宋体" w:hAnsi="宋体" w:cs="宋体"/>
                <w:color w:val="FF0000"/>
                <w:szCs w:val="21"/>
              </w:rPr>
            </w:pPr>
            <w:r>
              <w:rPr>
                <w:rFonts w:hint="eastAsia" w:ascii="宋体" w:hAnsi="宋体" w:cs="宋体"/>
                <w:szCs w:val="21"/>
              </w:rPr>
              <w:t>投标人自201</w:t>
            </w:r>
            <w:r>
              <w:rPr>
                <w:rFonts w:ascii="宋体" w:hAnsi="宋体" w:cs="宋体"/>
                <w:szCs w:val="21"/>
              </w:rPr>
              <w:t>8</w:t>
            </w:r>
            <w:r>
              <w:rPr>
                <w:rFonts w:hint="eastAsia" w:ascii="宋体" w:hAnsi="宋体" w:cs="宋体"/>
                <w:szCs w:val="21"/>
              </w:rPr>
              <w:t>年1月1日以来（以合同签订时间为准）类似仪器设备等物资搬迁业绩（提供的合同复印件，须包含盖章页面）：服务对象单位性质、搬迁内容与</w:t>
            </w:r>
            <w:r>
              <w:rPr>
                <w:rFonts w:hint="eastAsia" w:ascii="宋体" w:hAnsi="宋体"/>
                <w:bCs/>
                <w:szCs w:val="21"/>
              </w:rPr>
              <w:t>采购方仪器设备等物资</w:t>
            </w:r>
            <w:r>
              <w:rPr>
                <w:rFonts w:hint="eastAsia" w:ascii="宋体" w:hAnsi="宋体" w:cs="宋体"/>
                <w:szCs w:val="21"/>
              </w:rPr>
              <w:t>相似、匹配程度高的每提供1份业绩证明材料得1分（不提供或不符合要求不得分），最高得5分。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restart"/>
            <w:vAlign w:val="center"/>
          </w:tcPr>
          <w:p>
            <w:pPr>
              <w:jc w:val="center"/>
              <w:rPr>
                <w:rFonts w:ascii="宋体" w:hAnsi="宋体" w:cs="宋体"/>
                <w:b/>
                <w:bCs/>
                <w:szCs w:val="21"/>
              </w:rPr>
            </w:pPr>
            <w:r>
              <w:rPr>
                <w:rFonts w:hint="eastAsia" w:ascii="宋体" w:hAnsi="宋体" w:cs="宋体"/>
                <w:b/>
                <w:bCs/>
                <w:szCs w:val="21"/>
              </w:rPr>
              <w:t>体系认证</w:t>
            </w:r>
          </w:p>
        </w:tc>
        <w:tc>
          <w:tcPr>
            <w:tcW w:w="678" w:type="dxa"/>
            <w:vMerge w:val="restart"/>
            <w:vAlign w:val="center"/>
          </w:tcPr>
          <w:p>
            <w:pPr>
              <w:jc w:val="center"/>
              <w:rPr>
                <w:rFonts w:ascii="宋体" w:hAnsi="宋体" w:cs="宋体"/>
                <w:b/>
                <w:bCs/>
                <w:szCs w:val="21"/>
              </w:rPr>
            </w:pPr>
            <w:r>
              <w:rPr>
                <w:rFonts w:hint="eastAsia" w:ascii="宋体" w:hAnsi="宋体" w:cs="宋体"/>
                <w:b/>
                <w:bCs/>
                <w:szCs w:val="21"/>
              </w:rPr>
              <w:t>0-3</w:t>
            </w:r>
          </w:p>
        </w:tc>
        <w:tc>
          <w:tcPr>
            <w:tcW w:w="7267" w:type="dxa"/>
            <w:vAlign w:val="center"/>
          </w:tcPr>
          <w:p>
            <w:pPr>
              <w:rPr>
                <w:rFonts w:ascii="宋体" w:hAnsi="宋体" w:cs="宋体"/>
                <w:szCs w:val="21"/>
              </w:rPr>
            </w:pPr>
            <w:r>
              <w:rPr>
                <w:rFonts w:hint="eastAsia" w:ascii="宋体" w:hAnsi="宋体" w:cs="宋体"/>
                <w:szCs w:val="21"/>
              </w:rPr>
              <w:t>投标人具有有效的GB/T 19001/ISO9001质量管理体系认证且认证范围至少包含仪器/设备搬迁/运的得1分（投标文件中提供证书复印件及www.cnca.gov.cn“认证结果”查询截图，不提供或不符合要求不得分）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rPr>
                <w:rFonts w:ascii="宋体" w:hAnsi="宋体" w:cs="宋体"/>
                <w:szCs w:val="21"/>
              </w:rPr>
            </w:pPr>
          </w:p>
        </w:tc>
        <w:tc>
          <w:tcPr>
            <w:tcW w:w="678" w:type="dxa"/>
            <w:vMerge w:val="continue"/>
            <w:vAlign w:val="center"/>
          </w:tcPr>
          <w:p>
            <w:pPr>
              <w:rPr>
                <w:rFonts w:ascii="宋体" w:hAnsi="宋体" w:cs="宋体"/>
                <w:szCs w:val="21"/>
              </w:rPr>
            </w:pPr>
          </w:p>
        </w:tc>
        <w:tc>
          <w:tcPr>
            <w:tcW w:w="7267" w:type="dxa"/>
            <w:vAlign w:val="center"/>
          </w:tcPr>
          <w:p>
            <w:pPr>
              <w:rPr>
                <w:rFonts w:ascii="宋体" w:hAnsi="宋体" w:cs="宋体"/>
                <w:szCs w:val="21"/>
              </w:rPr>
            </w:pPr>
            <w:r>
              <w:rPr>
                <w:rFonts w:hint="eastAsia" w:ascii="宋体" w:hAnsi="宋体" w:cs="宋体"/>
                <w:szCs w:val="21"/>
              </w:rPr>
              <w:t>投标人具有有效的GB/T 24001/ISO14001环境管理体系认证且认证范围至少包含仪器/设备搬迁/运的得1分（投标文件中提供证书复印件及www.cnca.gov.cn“认证结果”查询截图，不提供或不符合要求不得分）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rPr>
                <w:rFonts w:ascii="宋体" w:hAnsi="宋体" w:cs="宋体"/>
                <w:szCs w:val="21"/>
              </w:rPr>
            </w:pPr>
          </w:p>
        </w:tc>
        <w:tc>
          <w:tcPr>
            <w:tcW w:w="678" w:type="dxa"/>
            <w:vMerge w:val="continue"/>
            <w:vAlign w:val="center"/>
          </w:tcPr>
          <w:p>
            <w:pPr>
              <w:rPr>
                <w:rFonts w:ascii="宋体" w:hAnsi="宋体" w:cs="宋体"/>
                <w:szCs w:val="21"/>
              </w:rPr>
            </w:pPr>
          </w:p>
        </w:tc>
        <w:tc>
          <w:tcPr>
            <w:tcW w:w="7267" w:type="dxa"/>
            <w:vAlign w:val="center"/>
          </w:tcPr>
          <w:p>
            <w:pPr>
              <w:rPr>
                <w:rFonts w:ascii="宋体" w:hAnsi="宋体" w:cs="宋体"/>
                <w:szCs w:val="21"/>
              </w:rPr>
            </w:pPr>
            <w:r>
              <w:rPr>
                <w:rFonts w:hint="eastAsia" w:ascii="宋体" w:hAnsi="宋体" w:cs="宋体"/>
                <w:szCs w:val="21"/>
              </w:rPr>
              <w:t>投标人具有有效的GB/T 45001/OASHS18001职业健康与安全管理体系认证且认证范围至少包含仪器/设备搬迁/运的得1分（投标文件中提供证书复印件及www.cnca.gov.cn“认证结果”查询截图，不提供或不符合要求不得分）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restart"/>
            <w:vAlign w:val="center"/>
          </w:tcPr>
          <w:p>
            <w:pPr>
              <w:jc w:val="center"/>
              <w:rPr>
                <w:rFonts w:ascii="宋体" w:hAnsi="宋体" w:cs="宋体"/>
                <w:b/>
                <w:bCs/>
                <w:szCs w:val="21"/>
              </w:rPr>
            </w:pPr>
            <w:r>
              <w:rPr>
                <w:rFonts w:hint="eastAsia" w:ascii="宋体" w:hAnsi="宋体" w:cs="宋体"/>
                <w:b/>
                <w:bCs/>
                <w:szCs w:val="21"/>
              </w:rPr>
              <w:t>服务团队</w:t>
            </w:r>
          </w:p>
        </w:tc>
        <w:tc>
          <w:tcPr>
            <w:tcW w:w="678" w:type="dxa"/>
            <w:vAlign w:val="center"/>
          </w:tcPr>
          <w:p>
            <w:pPr>
              <w:jc w:val="center"/>
              <w:rPr>
                <w:rFonts w:ascii="宋体" w:hAnsi="宋体" w:cs="宋体"/>
                <w:b/>
                <w:bCs/>
                <w:szCs w:val="21"/>
              </w:rPr>
            </w:pPr>
            <w:r>
              <w:rPr>
                <w:rFonts w:hint="eastAsia" w:ascii="宋体" w:hAnsi="宋体" w:cs="宋体"/>
                <w:b/>
                <w:bCs/>
                <w:szCs w:val="21"/>
              </w:rPr>
              <w:t>0-3</w:t>
            </w:r>
          </w:p>
        </w:tc>
        <w:tc>
          <w:tcPr>
            <w:tcW w:w="7267" w:type="dxa"/>
            <w:vAlign w:val="center"/>
          </w:tcPr>
          <w:p>
            <w:pPr>
              <w:rPr>
                <w:rFonts w:ascii="宋体" w:hAnsi="宋体" w:cs="宋体"/>
                <w:color w:val="000000"/>
                <w:szCs w:val="21"/>
              </w:rPr>
            </w:pPr>
            <w:r>
              <w:rPr>
                <w:rFonts w:hint="eastAsia" w:ascii="宋体" w:hAnsi="宋体" w:cs="宋体"/>
                <w:color w:val="000000"/>
                <w:szCs w:val="21"/>
              </w:rPr>
              <w:t>管理负责人</w:t>
            </w:r>
            <w:r>
              <w:rPr>
                <w:rFonts w:hint="eastAsia" w:ascii="宋体" w:hAnsi="宋体" w:cs="宋体"/>
                <w:szCs w:val="21"/>
              </w:rPr>
              <w:t>【投标文件中提供学历、职称证书复印件、人员履历、业绩证明材料（需体现业绩内容、人员姓名）及开标前近6个月投标人为其缴纳社保证明材料，不提供或不符合要求不得分】：根据学历、职称、仪器设备等物资搬迁经验与</w:t>
            </w:r>
            <w:r>
              <w:rPr>
                <w:rFonts w:hint="eastAsia" w:ascii="宋体" w:hAnsi="宋体"/>
                <w:bCs/>
                <w:szCs w:val="21"/>
              </w:rPr>
              <w:t>采购方仪器设备等物资</w:t>
            </w:r>
            <w:r>
              <w:rPr>
                <w:rFonts w:hint="eastAsia" w:ascii="宋体" w:hAnsi="宋体" w:cs="宋体"/>
                <w:szCs w:val="21"/>
              </w:rPr>
              <w:t>的相似性、匹配程度等综合评审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0-3</w:t>
            </w:r>
          </w:p>
        </w:tc>
        <w:tc>
          <w:tcPr>
            <w:tcW w:w="7267" w:type="dxa"/>
            <w:vAlign w:val="center"/>
          </w:tcPr>
          <w:p>
            <w:pPr>
              <w:rPr>
                <w:rFonts w:ascii="宋体" w:hAnsi="宋体" w:cs="宋体"/>
                <w:color w:val="000000"/>
                <w:szCs w:val="21"/>
              </w:rPr>
            </w:pPr>
            <w:r>
              <w:rPr>
                <w:rFonts w:hint="eastAsia" w:ascii="宋体" w:hAnsi="宋体" w:cs="宋体"/>
                <w:szCs w:val="21"/>
              </w:rPr>
              <w:t>管理团队人员具有项目管理相关认证证书（如PMP、IPMP、CPMP）的每提供1名得1分【投标文件中提供证书复印件及开标前近6个月投标人为其缴纳社保证明材料，不提供或不符合要求不得分】，最高得3分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0-3</w:t>
            </w:r>
          </w:p>
        </w:tc>
        <w:tc>
          <w:tcPr>
            <w:tcW w:w="7267" w:type="dxa"/>
            <w:vAlign w:val="center"/>
          </w:tcPr>
          <w:p>
            <w:pPr>
              <w:rPr>
                <w:rFonts w:ascii="宋体" w:hAnsi="宋体" w:cs="宋体"/>
                <w:szCs w:val="21"/>
              </w:rPr>
            </w:pPr>
            <w:r>
              <w:rPr>
                <w:rFonts w:hint="eastAsia" w:ascii="宋体" w:hAnsi="宋体" w:cs="宋体"/>
                <w:color w:val="000000"/>
                <w:szCs w:val="21"/>
              </w:rPr>
              <w:t>技术负责人</w:t>
            </w:r>
            <w:r>
              <w:rPr>
                <w:rFonts w:hint="eastAsia" w:ascii="宋体" w:hAnsi="宋体" w:cs="宋体"/>
                <w:szCs w:val="21"/>
              </w:rPr>
              <w:t>【投标文件中提供学历、职称证书复印件、人员履历、业绩证明材料（需体现业绩内容、人员姓名）及开标前近6个月投标人为其缴纳社保证明材料，不提供或不符合要求不得分】：根据学历、职称、仪器设备等物资搬迁经验与</w:t>
            </w:r>
            <w:r>
              <w:rPr>
                <w:rFonts w:hint="eastAsia" w:ascii="宋体" w:hAnsi="宋体"/>
                <w:bCs/>
                <w:szCs w:val="21"/>
              </w:rPr>
              <w:t>采购方仪器设备等物资</w:t>
            </w:r>
            <w:r>
              <w:rPr>
                <w:rFonts w:hint="eastAsia" w:ascii="宋体" w:hAnsi="宋体" w:cs="宋体"/>
                <w:szCs w:val="21"/>
              </w:rPr>
              <w:t>的相似性、匹配程度等综合评审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0-9</w:t>
            </w:r>
          </w:p>
        </w:tc>
        <w:tc>
          <w:tcPr>
            <w:tcW w:w="7267" w:type="dxa"/>
            <w:vAlign w:val="center"/>
          </w:tcPr>
          <w:p>
            <w:pPr>
              <w:rPr>
                <w:rFonts w:ascii="宋体" w:hAnsi="宋体" w:cs="宋体"/>
                <w:szCs w:val="21"/>
              </w:rPr>
            </w:pPr>
            <w:r>
              <w:rPr>
                <w:rFonts w:hint="eastAsia" w:ascii="宋体" w:hAnsi="宋体" w:cs="宋体"/>
                <w:szCs w:val="21"/>
              </w:rPr>
              <w:t>1.技术团队人员＞</w:t>
            </w:r>
            <w:r>
              <w:rPr>
                <w:rFonts w:ascii="宋体" w:hAnsi="宋体" w:cs="宋体"/>
                <w:szCs w:val="21"/>
              </w:rPr>
              <w:t>1</w:t>
            </w:r>
            <w:r>
              <w:rPr>
                <w:rFonts w:hint="eastAsia" w:ascii="宋体" w:hAnsi="宋体" w:cs="宋体"/>
                <w:szCs w:val="21"/>
              </w:rPr>
              <w:t>0人得5分、</w:t>
            </w:r>
            <w:r>
              <w:rPr>
                <w:rFonts w:ascii="宋体" w:hAnsi="宋体" w:cs="宋体"/>
                <w:szCs w:val="21"/>
              </w:rPr>
              <w:t>1</w:t>
            </w:r>
            <w:r>
              <w:rPr>
                <w:rFonts w:hint="eastAsia" w:ascii="宋体" w:hAnsi="宋体" w:cs="宋体"/>
                <w:szCs w:val="21"/>
              </w:rPr>
              <w:t>0（不含）-</w:t>
            </w:r>
            <w:r>
              <w:rPr>
                <w:rFonts w:ascii="宋体" w:hAnsi="宋体" w:cs="宋体"/>
                <w:szCs w:val="21"/>
              </w:rPr>
              <w:t>8</w:t>
            </w:r>
            <w:r>
              <w:rPr>
                <w:rFonts w:hint="eastAsia" w:ascii="宋体" w:hAnsi="宋体" w:cs="宋体"/>
                <w:szCs w:val="21"/>
              </w:rPr>
              <w:t>（含）人得4分、</w:t>
            </w:r>
            <w:r>
              <w:rPr>
                <w:rFonts w:ascii="宋体" w:hAnsi="宋体" w:cs="宋体"/>
                <w:szCs w:val="21"/>
              </w:rPr>
              <w:t>8</w:t>
            </w:r>
            <w:r>
              <w:rPr>
                <w:rFonts w:hint="eastAsia" w:ascii="宋体" w:hAnsi="宋体" w:cs="宋体"/>
                <w:szCs w:val="21"/>
              </w:rPr>
              <w:t>（不含）-</w:t>
            </w:r>
            <w:r>
              <w:rPr>
                <w:rFonts w:ascii="宋体" w:hAnsi="宋体" w:cs="宋体"/>
                <w:szCs w:val="21"/>
              </w:rPr>
              <w:t>6</w:t>
            </w:r>
            <w:r>
              <w:rPr>
                <w:rFonts w:hint="eastAsia" w:ascii="宋体" w:hAnsi="宋体" w:cs="宋体"/>
                <w:szCs w:val="21"/>
              </w:rPr>
              <w:t>（含）人得2分、</w:t>
            </w:r>
            <w:r>
              <w:rPr>
                <w:rFonts w:ascii="宋体" w:hAnsi="宋体" w:cs="宋体"/>
                <w:szCs w:val="21"/>
              </w:rPr>
              <w:t>6</w:t>
            </w:r>
            <w:r>
              <w:rPr>
                <w:rFonts w:hint="eastAsia" w:ascii="宋体" w:hAnsi="宋体" w:cs="宋体"/>
                <w:szCs w:val="21"/>
              </w:rPr>
              <w:t>（不含）-</w:t>
            </w:r>
            <w:r>
              <w:rPr>
                <w:rFonts w:ascii="宋体" w:hAnsi="宋体" w:cs="宋体"/>
                <w:szCs w:val="21"/>
              </w:rPr>
              <w:t>4</w:t>
            </w:r>
            <w:r>
              <w:rPr>
                <w:rFonts w:hint="eastAsia" w:ascii="宋体" w:hAnsi="宋体" w:cs="宋体"/>
                <w:szCs w:val="21"/>
              </w:rPr>
              <w:t>（含）人的得1分、≤</w:t>
            </w:r>
            <w:r>
              <w:rPr>
                <w:rFonts w:ascii="宋体" w:hAnsi="宋体" w:cs="宋体"/>
                <w:szCs w:val="21"/>
              </w:rPr>
              <w:t>4</w:t>
            </w:r>
            <w:r>
              <w:rPr>
                <w:rFonts w:hint="eastAsia" w:ascii="宋体" w:hAnsi="宋体" w:cs="宋体"/>
                <w:szCs w:val="21"/>
              </w:rPr>
              <w:t>人不得分</w:t>
            </w:r>
          </w:p>
          <w:p>
            <w:pPr>
              <w:rPr>
                <w:rFonts w:ascii="宋体" w:hAnsi="宋体" w:cs="宋体"/>
                <w:szCs w:val="21"/>
              </w:rPr>
            </w:pPr>
            <w:r>
              <w:rPr>
                <w:rFonts w:hint="eastAsia" w:ascii="宋体" w:hAnsi="宋体" w:cs="宋体"/>
                <w:szCs w:val="21"/>
              </w:rPr>
              <w:t>2.技术团队人员证书或资质与</w:t>
            </w:r>
            <w:r>
              <w:rPr>
                <w:rFonts w:hint="eastAsia" w:ascii="宋体" w:hAnsi="宋体"/>
                <w:bCs/>
                <w:szCs w:val="21"/>
              </w:rPr>
              <w:t>采购方仪器设备等物资搬迁内容适用性、匹配程度（0-4分）</w:t>
            </w:r>
          </w:p>
          <w:p>
            <w:pPr>
              <w:rPr>
                <w:rFonts w:ascii="宋体" w:hAnsi="宋体" w:cs="宋体"/>
                <w:szCs w:val="21"/>
              </w:rPr>
            </w:pPr>
            <w:r>
              <w:rPr>
                <w:rFonts w:hint="eastAsia" w:ascii="宋体" w:hAnsi="宋体" w:cs="宋体"/>
                <w:szCs w:val="21"/>
              </w:rPr>
              <w:t>说明：投标文件中提供工程师培训证书或资质证明（维修/安装/培训等），不提供或不符合要求不得分。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28" w:type="dxa"/>
            <w:gridSpan w:val="3"/>
            <w:vAlign w:val="center"/>
          </w:tcPr>
          <w:p>
            <w:pPr>
              <w:jc w:val="center"/>
              <w:rPr>
                <w:rFonts w:ascii="宋体" w:hAnsi="宋体" w:cs="宋体"/>
                <w:szCs w:val="21"/>
              </w:rPr>
            </w:pPr>
            <w:r>
              <w:rPr>
                <w:rFonts w:hint="eastAsia" w:ascii="宋体" w:hAnsi="宋体" w:cs="宋体"/>
                <w:b/>
                <w:bCs/>
                <w:szCs w:val="21"/>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restart"/>
            <w:vAlign w:val="center"/>
          </w:tcPr>
          <w:p>
            <w:pPr>
              <w:jc w:val="center"/>
              <w:rPr>
                <w:rFonts w:ascii="宋体" w:hAnsi="宋体" w:cs="宋体"/>
                <w:b/>
                <w:bCs/>
                <w:szCs w:val="21"/>
              </w:rPr>
            </w:pPr>
            <w:r>
              <w:rPr>
                <w:rFonts w:hint="eastAsia" w:ascii="宋体" w:hAnsi="宋体" w:cs="宋体"/>
                <w:b/>
                <w:bCs/>
                <w:szCs w:val="21"/>
              </w:rPr>
              <w:t>总体方案</w:t>
            </w:r>
          </w:p>
        </w:tc>
        <w:tc>
          <w:tcPr>
            <w:tcW w:w="678" w:type="dxa"/>
            <w:vAlign w:val="center"/>
          </w:tcPr>
          <w:p>
            <w:pPr>
              <w:jc w:val="center"/>
              <w:rPr>
                <w:rFonts w:ascii="宋体" w:hAnsi="宋体" w:cs="宋体"/>
                <w:b/>
                <w:bCs/>
                <w:szCs w:val="21"/>
              </w:rPr>
            </w:pPr>
            <w:r>
              <w:rPr>
                <w:rFonts w:hint="eastAsia" w:ascii="宋体" w:hAnsi="宋体" w:cs="宋体"/>
                <w:b/>
                <w:bCs/>
                <w:szCs w:val="21"/>
              </w:rPr>
              <w:t>0-4</w:t>
            </w:r>
          </w:p>
        </w:tc>
        <w:tc>
          <w:tcPr>
            <w:tcW w:w="7267" w:type="dxa"/>
            <w:vAlign w:val="center"/>
          </w:tcPr>
          <w:p>
            <w:pPr>
              <w:rPr>
                <w:rFonts w:ascii="宋体" w:hAnsi="宋体" w:cs="宋体"/>
                <w:szCs w:val="21"/>
              </w:rPr>
            </w:pPr>
            <w:r>
              <w:rPr>
                <w:rFonts w:hint="eastAsia" w:ascii="宋体" w:hAnsi="宋体" w:cs="宋体"/>
                <w:szCs w:val="21"/>
              </w:rPr>
              <w:t>对采购方仪器设备等物资搬迁内容服务总体理解的深刻程度，方案表述的清晰性、完整性、严谨性、合理性、针对性，作业指导书的详细程度、规范性、仪器设备等物资针对性。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0-4</w:t>
            </w:r>
          </w:p>
        </w:tc>
        <w:tc>
          <w:tcPr>
            <w:tcW w:w="7267" w:type="dxa"/>
            <w:vAlign w:val="center"/>
          </w:tcPr>
          <w:p>
            <w:pPr>
              <w:rPr>
                <w:rFonts w:ascii="宋体" w:hAnsi="宋体" w:cs="宋体"/>
                <w:szCs w:val="21"/>
              </w:rPr>
            </w:pPr>
            <w:r>
              <w:rPr>
                <w:rFonts w:hint="eastAsia" w:ascii="宋体" w:hAnsi="宋体" w:cs="宋体"/>
                <w:szCs w:val="21"/>
              </w:rPr>
              <w:t>关键工序的关键点表述深入程度，对重、难点分析准确性（包括管理方案、提交现场勘查报告，特别是涉及水、电、气、环境震动、管网等的保障性设施能否满足精密分析仪器安装的条件）及应对和解决方案的可行性、完整性、经济性、安全性、仪器设备等物资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0-3</w:t>
            </w:r>
          </w:p>
        </w:tc>
        <w:tc>
          <w:tcPr>
            <w:tcW w:w="7267" w:type="dxa"/>
            <w:vAlign w:val="center"/>
          </w:tcPr>
          <w:p>
            <w:pPr>
              <w:rPr>
                <w:rFonts w:ascii="宋体" w:hAnsi="宋体" w:cs="宋体"/>
                <w:szCs w:val="21"/>
              </w:rPr>
            </w:pPr>
            <w:r>
              <w:rPr>
                <w:rFonts w:hint="eastAsia" w:ascii="宋体" w:hAnsi="宋体" w:cs="宋体"/>
                <w:szCs w:val="21"/>
              </w:rPr>
              <w:t>对新、现实验室建筑和仪器设备等物资现状所面临的实际情况提出的保护措施（具体内容）的具体性、针对性、完整性、可行性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restart"/>
            <w:vAlign w:val="center"/>
          </w:tcPr>
          <w:p>
            <w:pPr>
              <w:jc w:val="center"/>
              <w:rPr>
                <w:rFonts w:ascii="宋体" w:hAnsi="宋体" w:cs="宋体"/>
                <w:b/>
                <w:bCs/>
                <w:szCs w:val="21"/>
              </w:rPr>
            </w:pPr>
            <w:r>
              <w:rPr>
                <w:rFonts w:hint="eastAsia" w:ascii="宋体" w:hAnsi="宋体" w:cs="宋体"/>
                <w:b/>
                <w:bCs/>
                <w:szCs w:val="21"/>
              </w:rPr>
              <w:t>项目实施</w:t>
            </w:r>
          </w:p>
        </w:tc>
        <w:tc>
          <w:tcPr>
            <w:tcW w:w="678" w:type="dxa"/>
            <w:vAlign w:val="center"/>
          </w:tcPr>
          <w:p>
            <w:pPr>
              <w:jc w:val="center"/>
              <w:rPr>
                <w:rFonts w:ascii="宋体" w:hAnsi="宋体" w:cs="宋体"/>
                <w:b/>
                <w:bCs/>
                <w:szCs w:val="21"/>
              </w:rPr>
            </w:pPr>
            <w:r>
              <w:rPr>
                <w:rFonts w:hint="eastAsia" w:ascii="宋体" w:hAnsi="宋体" w:cs="宋体"/>
                <w:b/>
                <w:bCs/>
                <w:szCs w:val="21"/>
              </w:rPr>
              <w:t>0-5</w:t>
            </w:r>
          </w:p>
        </w:tc>
        <w:tc>
          <w:tcPr>
            <w:tcW w:w="7267" w:type="dxa"/>
            <w:vAlign w:val="center"/>
          </w:tcPr>
          <w:p>
            <w:pPr>
              <w:rPr>
                <w:rFonts w:ascii="宋体" w:hAnsi="宋体" w:cs="宋体"/>
                <w:szCs w:val="21"/>
              </w:rPr>
            </w:pPr>
            <w:r>
              <w:rPr>
                <w:rFonts w:hint="eastAsia" w:ascii="宋体" w:hAnsi="宋体" w:cs="宋体"/>
                <w:szCs w:val="21"/>
              </w:rPr>
              <w:t>技术支持资料（包括但不限于投标人按招标文件要求进行现场考察后出具的对采购方仪器设备等物资的现场勘察报告）的完整性、针对性，未提供技术支持资料的不得分。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w:t>
            </w:r>
            <w:r>
              <w:rPr>
                <w:rFonts w:hint="eastAsia" w:ascii="宋体" w:hAnsi="宋体" w:cs="宋体"/>
                <w:b/>
                <w:bCs/>
                <w:szCs w:val="21"/>
                <w:lang w:val="en-US" w:eastAsia="zh-CN"/>
              </w:rPr>
              <w:t>2</w:t>
            </w:r>
            <w:r>
              <w:rPr>
                <w:rFonts w:hint="eastAsia" w:ascii="宋体" w:hAnsi="宋体" w:cs="宋体"/>
                <w:b/>
                <w:bCs/>
                <w:szCs w:val="21"/>
              </w:rPr>
              <w:t>0</w:t>
            </w:r>
          </w:p>
        </w:tc>
        <w:tc>
          <w:tcPr>
            <w:tcW w:w="7267" w:type="dxa"/>
            <w:vAlign w:val="center"/>
          </w:tcPr>
          <w:p>
            <w:pPr>
              <w:rPr>
                <w:rFonts w:ascii="宋体" w:hAnsi="宋体" w:cs="宋体"/>
                <w:b/>
                <w:bCs/>
                <w:szCs w:val="21"/>
              </w:rPr>
            </w:pPr>
            <w:r>
              <w:rPr>
                <w:rFonts w:hint="eastAsia" w:ascii="宋体" w:hAnsi="宋体" w:cs="宋体"/>
                <w:b/>
                <w:bCs/>
                <w:szCs w:val="21"/>
              </w:rPr>
              <w:t>根据采购方仪器设备等物资特点结合过往搬迁服务经验拟定的具体实施方案：</w:t>
            </w:r>
          </w:p>
          <w:p>
            <w:pPr>
              <w:rPr>
                <w:rFonts w:ascii="宋体" w:hAnsi="宋体" w:cs="宋体"/>
                <w:szCs w:val="21"/>
              </w:rPr>
            </w:pPr>
            <w:r>
              <w:rPr>
                <w:rFonts w:hint="eastAsia" w:ascii="宋体" w:hAnsi="宋体" w:cs="宋体"/>
                <w:szCs w:val="21"/>
              </w:rPr>
              <w:t>1.搬迁管理方案的全面性、合理性、可行性、仪器设备等物资针对性（0-</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2.拆装方案的全面性、专业性、仪器设备等物资针对性（0-</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3.包装方案的全面性、环保性、安全性、仪器设备等物资针对性，作业期间包装箱体外部标识的清晰明确程度（0-</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4.车辆、机械设备配置先进性、对不同仪器设备等物资拆/装及运输需求的满足程度，投标人与物流公司参与采购方类似仪器设备等物资搬迁合作过往案例情况（0-</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5.安装调试方案及流程的详细程度、可行性、仪器设备等物资针对性，指导调试、单机试运转人员的专业性，检测手段、标准的合理性及检测仪器设备健全程度（0-</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6.与原厂负责拆装及安装调试的配合方案的可行性，交验后能够最大程度达到采购人满意措施的完整性、针对性、可行性（0-</w:t>
            </w:r>
            <w:r>
              <w:rPr>
                <w:rFonts w:hint="eastAsia" w:ascii="宋体" w:hAnsi="宋体" w:cs="宋体"/>
                <w:szCs w:val="21"/>
                <w:lang w:val="en-US" w:eastAsia="zh-CN"/>
              </w:rPr>
              <w:t>2</w:t>
            </w:r>
            <w:r>
              <w:rPr>
                <w:rFonts w:hint="eastAsia" w:ascii="宋体" w:hAnsi="宋体" w:cs="宋体"/>
                <w:szCs w:val="21"/>
              </w:rPr>
              <w:t>分）。</w:t>
            </w:r>
          </w:p>
          <w:p>
            <w:pPr>
              <w:rPr>
                <w:rFonts w:ascii="宋体" w:hAnsi="宋体" w:cs="宋体"/>
                <w:szCs w:val="21"/>
              </w:rPr>
            </w:pPr>
            <w:r>
              <w:rPr>
                <w:rFonts w:hint="eastAsia" w:ascii="宋体" w:hAnsi="宋体" w:cs="宋体"/>
                <w:szCs w:val="21"/>
              </w:rPr>
              <w:t>7.验收实施管理办法和措施的规范性，实施计划的完善程度，安装、测试、验收标准和合理化建议的详尽程度、仪器设备等物资针对性（0-</w:t>
            </w:r>
            <w:r>
              <w:rPr>
                <w:rFonts w:hint="eastAsia" w:ascii="宋体" w:hAnsi="宋体" w:cs="宋体"/>
                <w:szCs w:val="21"/>
                <w:lang w:val="en-US" w:eastAsia="zh-CN"/>
              </w:rPr>
              <w:t>3</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0-5</w:t>
            </w:r>
          </w:p>
        </w:tc>
        <w:tc>
          <w:tcPr>
            <w:tcW w:w="7267" w:type="dxa"/>
            <w:vAlign w:val="center"/>
          </w:tcPr>
          <w:p>
            <w:pPr>
              <w:rPr>
                <w:rFonts w:ascii="宋体" w:hAnsi="宋体" w:cs="宋体"/>
                <w:b/>
                <w:bCs/>
                <w:szCs w:val="21"/>
              </w:rPr>
            </w:pPr>
            <w:r>
              <w:rPr>
                <w:rFonts w:hint="eastAsia" w:ascii="宋体" w:hAnsi="宋体" w:cs="宋体"/>
                <w:b/>
                <w:bCs/>
                <w:szCs w:val="21"/>
              </w:rPr>
              <w:t>过程管理及追溯</w:t>
            </w:r>
          </w:p>
          <w:p>
            <w:pPr>
              <w:rPr>
                <w:rFonts w:ascii="宋体" w:hAnsi="宋体" w:cs="宋体"/>
                <w:szCs w:val="21"/>
              </w:rPr>
            </w:pPr>
            <w:r>
              <w:rPr>
                <w:rFonts w:hint="eastAsia" w:ascii="宋体" w:hAnsi="宋体" w:cs="宋体"/>
                <w:szCs w:val="21"/>
              </w:rPr>
              <w:t>项目过程管理预案和信息沟通机制高效性（投标文件中提供图文演示，不提供不得分）：旧址到新址点对点的对应、过程文件（包括对仪器设备等物资搬运状态、测试报告结果、搬运人员等动态信息的即时查询）数字化管理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w:t>
            </w:r>
            <w:r>
              <w:rPr>
                <w:rFonts w:ascii="宋体" w:hAnsi="宋体" w:cs="宋体"/>
                <w:b/>
                <w:bCs/>
                <w:szCs w:val="21"/>
              </w:rPr>
              <w:t>4</w:t>
            </w:r>
          </w:p>
        </w:tc>
        <w:tc>
          <w:tcPr>
            <w:tcW w:w="7267" w:type="dxa"/>
            <w:vAlign w:val="center"/>
          </w:tcPr>
          <w:p>
            <w:pPr>
              <w:rPr>
                <w:rFonts w:ascii="宋体" w:hAnsi="宋体" w:cs="宋体"/>
                <w:b/>
                <w:bCs/>
                <w:szCs w:val="21"/>
              </w:rPr>
            </w:pPr>
            <w:r>
              <w:rPr>
                <w:rFonts w:hint="eastAsia" w:ascii="宋体" w:hAnsi="宋体" w:cs="宋体"/>
                <w:b/>
                <w:bCs/>
                <w:szCs w:val="21"/>
              </w:rPr>
              <w:t>进度保障</w:t>
            </w:r>
          </w:p>
          <w:p>
            <w:pPr>
              <w:rPr>
                <w:rFonts w:ascii="宋体" w:hAnsi="宋体" w:cs="宋体"/>
                <w:bCs/>
                <w:szCs w:val="21"/>
                <w:lang w:bidi="ar"/>
              </w:rPr>
            </w:pPr>
            <w:r>
              <w:rPr>
                <w:rFonts w:hint="eastAsia" w:ascii="宋体" w:hAnsi="宋体" w:cs="宋体"/>
                <w:szCs w:val="21"/>
              </w:rPr>
              <w:t>思路清晰性、准确性、完整性，计划编制合理性、可行性，过程管理方案（降低搬迁过程中存在的风险、记录搬迁过程中产生的信息）的有效性，关键节点控制措施的力度、合理性、可行性，进度违约责任承诺具体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Merge w:val="continue"/>
            <w:vAlign w:val="center"/>
          </w:tcPr>
          <w:p>
            <w:pPr>
              <w:jc w:val="center"/>
              <w:rPr>
                <w:rFonts w:ascii="宋体" w:hAnsi="宋体" w:cs="宋体"/>
                <w:b/>
                <w:bCs/>
                <w:szCs w:val="21"/>
              </w:rPr>
            </w:pPr>
          </w:p>
        </w:tc>
        <w:tc>
          <w:tcPr>
            <w:tcW w:w="678" w:type="dxa"/>
            <w:vAlign w:val="center"/>
          </w:tcPr>
          <w:p>
            <w:pPr>
              <w:jc w:val="center"/>
              <w:rPr>
                <w:rFonts w:ascii="宋体" w:hAnsi="宋体" w:cs="宋体"/>
                <w:b/>
                <w:bCs/>
                <w:szCs w:val="21"/>
              </w:rPr>
            </w:pPr>
            <w:r>
              <w:rPr>
                <w:rFonts w:hint="eastAsia" w:ascii="宋体" w:hAnsi="宋体" w:cs="宋体"/>
                <w:b/>
                <w:bCs/>
                <w:szCs w:val="21"/>
              </w:rPr>
              <w:t>0-6</w:t>
            </w:r>
          </w:p>
        </w:tc>
        <w:tc>
          <w:tcPr>
            <w:tcW w:w="7267" w:type="dxa"/>
            <w:vAlign w:val="center"/>
          </w:tcPr>
          <w:p>
            <w:pPr>
              <w:rPr>
                <w:rFonts w:ascii="宋体" w:hAnsi="宋体" w:cs="宋体"/>
                <w:b/>
                <w:bCs/>
                <w:szCs w:val="21"/>
              </w:rPr>
            </w:pPr>
            <w:r>
              <w:rPr>
                <w:rFonts w:hint="eastAsia" w:ascii="宋体" w:hAnsi="宋体" w:cs="宋体"/>
                <w:b/>
                <w:bCs/>
                <w:szCs w:val="21"/>
              </w:rPr>
              <w:t>应急处置和风险管控方案</w:t>
            </w:r>
          </w:p>
          <w:p>
            <w:pPr>
              <w:rPr>
                <w:rFonts w:ascii="宋体" w:hAnsi="宋体" w:cs="宋体"/>
                <w:szCs w:val="21"/>
              </w:rPr>
            </w:pPr>
            <w:r>
              <w:rPr>
                <w:rFonts w:hint="eastAsia" w:ascii="宋体" w:hAnsi="宋体" w:cs="宋体"/>
                <w:szCs w:val="21"/>
              </w:rPr>
              <w:t>1.搬迁过程中对突发性事故或紧急情况应急处置方案（满足提供24小时电话响应服务，接报后1小时内到达现场并在2小时内解决故障）的科学性、全面性、针对性、可行性、及时性（0-3分）</w:t>
            </w:r>
          </w:p>
          <w:p>
            <w:pPr>
              <w:rPr>
                <w:rFonts w:ascii="宋体" w:hAnsi="宋体" w:cs="宋体"/>
                <w:szCs w:val="21"/>
              </w:rPr>
            </w:pPr>
            <w:r>
              <w:rPr>
                <w:rFonts w:hint="eastAsia" w:ascii="宋体" w:hAnsi="宋体" w:cs="宋体"/>
                <w:bCs/>
                <w:kern w:val="0"/>
                <w:szCs w:val="21"/>
                <w:lang w:bidi="ar"/>
              </w:rPr>
              <w:t>2.根据搬迁过程和现场情况制定的风险管控方案</w:t>
            </w:r>
            <w:r>
              <w:rPr>
                <w:rFonts w:hint="eastAsia" w:ascii="宋体" w:hAnsi="宋体" w:cs="宋体"/>
                <w:szCs w:val="21"/>
              </w:rPr>
              <w:t>的科学性、全面性、针对性、可行性（0-3分）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3" w:type="dxa"/>
            <w:vAlign w:val="center"/>
          </w:tcPr>
          <w:p>
            <w:pPr>
              <w:jc w:val="center"/>
              <w:rPr>
                <w:rFonts w:ascii="宋体" w:hAnsi="宋体" w:cs="宋体"/>
                <w:b/>
                <w:bCs/>
                <w:szCs w:val="21"/>
              </w:rPr>
            </w:pPr>
            <w:r>
              <w:rPr>
                <w:rFonts w:hint="eastAsia" w:ascii="宋体" w:hAnsi="宋体" w:cs="宋体"/>
                <w:b/>
                <w:bCs/>
                <w:szCs w:val="21"/>
              </w:rPr>
              <w:t>售后服务</w:t>
            </w:r>
          </w:p>
        </w:tc>
        <w:tc>
          <w:tcPr>
            <w:tcW w:w="678" w:type="dxa"/>
            <w:vAlign w:val="center"/>
          </w:tcPr>
          <w:p>
            <w:pPr>
              <w:jc w:val="center"/>
              <w:rPr>
                <w:rFonts w:ascii="宋体" w:hAnsi="宋体" w:cs="宋体"/>
                <w:b/>
                <w:bCs/>
                <w:szCs w:val="21"/>
              </w:rPr>
            </w:pPr>
            <w:r>
              <w:rPr>
                <w:rFonts w:hint="eastAsia" w:ascii="宋体" w:hAnsi="宋体" w:cs="宋体"/>
                <w:b/>
                <w:bCs/>
                <w:szCs w:val="21"/>
              </w:rPr>
              <w:t>0-3</w:t>
            </w:r>
          </w:p>
        </w:tc>
        <w:tc>
          <w:tcPr>
            <w:tcW w:w="7267" w:type="dxa"/>
            <w:vAlign w:val="center"/>
          </w:tcPr>
          <w:p>
            <w:pPr>
              <w:rPr>
                <w:szCs w:val="21"/>
              </w:rPr>
            </w:pPr>
            <w:r>
              <w:rPr>
                <w:rFonts w:hint="eastAsia" w:ascii="宋体" w:hAnsi="宋体" w:cs="宋体"/>
                <w:szCs w:val="21"/>
              </w:rPr>
              <w:t>投标人本地化服务能力及现场技术支持服务的及时性</w:t>
            </w:r>
          </w:p>
        </w:tc>
      </w:tr>
    </w:tbl>
    <w:p/>
    <w:p/>
    <w:p>
      <w:pPr>
        <w:pStyle w:val="2"/>
      </w:pPr>
      <w:r>
        <w:rPr>
          <w:rFonts w:hint="eastAsia"/>
        </w:rPr>
        <w:t>四、搬迁清单</w:t>
      </w:r>
    </w:p>
    <w:p>
      <w:pPr>
        <w:pStyle w:val="3"/>
        <w:rPr>
          <w:rFonts w:hint="eastAsia"/>
        </w:rPr>
      </w:pPr>
      <w:r>
        <w:rPr>
          <w:rFonts w:hint="eastAsia"/>
        </w:rPr>
        <w:t>1</w:t>
      </w:r>
      <w:r>
        <w:t xml:space="preserve">. </w:t>
      </w:r>
      <w:r>
        <w:rPr>
          <w:rFonts w:hint="eastAsia"/>
        </w:rPr>
        <w:t>仪器设备清单</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4"/>
        <w:gridCol w:w="1254"/>
        <w:gridCol w:w="2136"/>
        <w:gridCol w:w="1361"/>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编号</w:t>
            </w:r>
          </w:p>
        </w:tc>
        <w:tc>
          <w:tcPr>
            <w:tcW w:w="1364" w:type="dxa"/>
            <w:shd w:val="clear" w:color="auto" w:fill="auto"/>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仪器名称</w:t>
            </w:r>
          </w:p>
        </w:tc>
        <w:tc>
          <w:tcPr>
            <w:tcW w:w="1254" w:type="dxa"/>
            <w:shd w:val="clear" w:color="auto" w:fill="auto"/>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内 部编 号</w:t>
            </w:r>
          </w:p>
        </w:tc>
        <w:tc>
          <w:tcPr>
            <w:tcW w:w="2136" w:type="dxa"/>
            <w:shd w:val="clear" w:color="auto" w:fill="auto"/>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仪器编号</w:t>
            </w:r>
          </w:p>
        </w:tc>
        <w:tc>
          <w:tcPr>
            <w:tcW w:w="1361" w:type="dxa"/>
            <w:shd w:val="clear" w:color="auto" w:fill="auto"/>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型号</w:t>
            </w:r>
          </w:p>
        </w:tc>
        <w:tc>
          <w:tcPr>
            <w:tcW w:w="1444" w:type="dxa"/>
            <w:shd w:val="clear" w:color="auto" w:fill="auto"/>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制造厂名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w:t>
            </w:r>
          </w:p>
        </w:tc>
        <w:tc>
          <w:tcPr>
            <w:tcW w:w="136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多功能声级计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107666</w:t>
            </w:r>
          </w:p>
        </w:tc>
        <w:tc>
          <w:tcPr>
            <w:tcW w:w="1361"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AWA6228</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多功能声级计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300034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AWA6228+</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多功能声级计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300073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AWA6228+</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多功能声级计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300180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AWA6228+</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多功能声级计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300033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AWA6228+</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声级校准器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1004113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AWA6222A</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声校准器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1013215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AWA6021A</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杭州爱华仪器有限公司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光电测烟望远镜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129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QT201B</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苏州市青安仪器有限公司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电子天平（1/万）</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16036798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BP221S型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北京赛多利斯仪器系统有限公司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1/百分析天平</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22491815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TE212-L</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德国赛多利斯股份有限公司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1/万分析天平</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22901189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CPA224S</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德国赛多利斯股份有限公司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电子天平（1/百）</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33690677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BSA822</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塞多利斯科学仪器（北京）有限公司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紫外可见分光光度计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15-1650-01-1009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T6新世纪</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北京普析通用仪器有限公司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紫外可见分光光度计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SB5-09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22-1901-01-0418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TU-1901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北京普析通用仪器有限公司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可见分光光度计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SB5-10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24-1610-01-0340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T6新悦</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北京普析通用仪器有限责任公司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便携式光度计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SB5-11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1.706E+11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DR900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美国哈希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红外分光测油仪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SB5-12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112IIC18050068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OIL480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北京华夏科创仪器股份有限公司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原子荧光光度计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SB5-13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KS12-2003040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Kylin-S12</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北京吉天仪器有限公司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19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电导率仪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50168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DDSJ-308A</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上海精密科学仪器有限公司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电导率仪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09060C270349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sension7</w:t>
            </w:r>
          </w:p>
        </w:tc>
        <w:tc>
          <w:tcPr>
            <w:tcW w:w="1444"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hint="eastAsia" w:ascii="宋体" w:hAnsi="宋体"/>
                <w:color w:val="000000"/>
                <w:kern w:val="0"/>
                <w:sz w:val="16"/>
                <w:szCs w:val="16"/>
              </w:rPr>
              <w:t>21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溶解氧测定仪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1.411E+11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HQ30D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手持式pH测试仪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17110493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pH3310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德国</w:t>
            </w:r>
            <w:r>
              <w:rPr>
                <w:color w:val="000000"/>
                <w:kern w:val="0"/>
                <w:sz w:val="16"/>
                <w:szCs w:val="16"/>
              </w:rPr>
              <w:t>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DO现场测定仪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1.703E+11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HQ30D</w:t>
            </w:r>
          </w:p>
        </w:tc>
        <w:tc>
          <w:tcPr>
            <w:tcW w:w="1444" w:type="dxa"/>
            <w:shd w:val="clear" w:color="auto" w:fill="auto"/>
            <w:vAlign w:val="center"/>
          </w:tcPr>
          <w:p>
            <w:pPr>
              <w:widowControl/>
              <w:jc w:val="left"/>
              <w:rPr>
                <w:rFonts w:hint="eastAsia" w:eastAsia="等线"/>
                <w:color w:val="000000"/>
                <w:kern w:val="0"/>
                <w:sz w:val="16"/>
                <w:szCs w:val="16"/>
              </w:rPr>
            </w:pPr>
            <w:r>
              <w:rPr>
                <w:rFonts w:eastAsia="等线"/>
                <w:color w:val="000000"/>
                <w:kern w:val="0"/>
                <w:sz w:val="16"/>
                <w:szCs w:val="16"/>
              </w:rPr>
              <w:t>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hint="eastAsia" w:ascii="宋体" w:hAnsi="宋体"/>
                <w:color w:val="000000"/>
                <w:kern w:val="0"/>
                <w:sz w:val="16"/>
                <w:szCs w:val="16"/>
              </w:rPr>
              <w:t>24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便携式电导率仪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1.703E+11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HQ14d</w:t>
            </w:r>
          </w:p>
        </w:tc>
        <w:tc>
          <w:tcPr>
            <w:tcW w:w="1444" w:type="dxa"/>
            <w:shd w:val="clear" w:color="auto" w:fill="auto"/>
            <w:vAlign w:val="center"/>
          </w:tcPr>
          <w:p>
            <w:pPr>
              <w:widowControl/>
              <w:jc w:val="left"/>
              <w:rPr>
                <w:rFonts w:hint="eastAsia" w:eastAsia="等线"/>
                <w:color w:val="000000"/>
                <w:kern w:val="0"/>
                <w:sz w:val="16"/>
                <w:szCs w:val="16"/>
              </w:rPr>
            </w:pPr>
            <w:r>
              <w:rPr>
                <w:rFonts w:eastAsia="等线"/>
                <w:color w:val="000000"/>
                <w:kern w:val="0"/>
                <w:sz w:val="16"/>
                <w:szCs w:val="16"/>
              </w:rPr>
              <w:t>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hint="eastAsia" w:ascii="宋体" w:hAnsi="宋体"/>
                <w:color w:val="000000"/>
                <w:kern w:val="0"/>
                <w:sz w:val="16"/>
                <w:szCs w:val="16"/>
              </w:rPr>
              <w:t>25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离子计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621417N1117120040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PXSJ-216F</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上海仪电科学仪器股份有限公司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pH计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600408N0018101106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PHS-3C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上海仪电科学仪器股份有限公司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pH计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SB6-19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600408N0020090689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PHS-3C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上海仪电科学仪器股份有限公司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便携式pH计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SB6-20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2.012E+11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HQ11D</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哈希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29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生化培养箱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SB7-05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140509975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LRH-250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上海一恒科学仪器有限公司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隔水式恒温培养箱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SB7-06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14006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BG-160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上海博迅实业有限公司医疗设备厂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生化培养箱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SB7-07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160923902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BPC-250F</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上海一恒科学仪器有限公司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循环水多用真空泵</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SB8-03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14666492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SHZ-D(Ⅲ)</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巩义市予华仪器有限责任公司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立式高压蒸汽灭菌器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SB9-08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50G180495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LDZF-50L</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上海申安医疗器械厂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电热鼓风干燥箱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SB10-03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10499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GZX-9140MBE</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上海博讯实业有限公司医疗设备厂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电热鼓风干燥箱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SB10-04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G07459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WGL-230B</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天津市泰斯特仪器有限公司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智能综合大气采样器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9074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ZC-Q0102</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浙江恒达仪器仪表有限公司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四路恒温恒流大气综合采样器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1108DZT1511025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中崂1108D型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四路恒温恒流大气综合采样器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1108DZT1511026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中崂1108D型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39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硫酸雾/氯化氢采样管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MH3020S型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青岛明华电子仪器有限公司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四路恒温恒流大气综合采样器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1108DZT1702005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中崂1108D型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四路恒温恒流大气综合采样器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1108DZT1702006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中崂1108D型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四路恒温恒流大气综合采样器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1108DZT1702007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中崂1108D型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中流量颗粒物采样器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1108A-1ZT1702033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中崂1108A-1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中流量颗粒物采样器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1108A-1ZT1702034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中崂1108A-1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中流量颗粒物采样器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SB11-29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1108A-1ZT1702035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中崂1108A-1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中流量颗粒物采样器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SB11-30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1108A-1ZT1702036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中崂1108A-1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中流量颗粒物采样器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SB11-31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1108A-1ZT1702037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中崂1108A-1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中流量颗粒物采样器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SB11-32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1108A-1ZT1702038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中崂1108A-1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青岛中特环保仪器有限公司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49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大流量环境空气颗粒物采样器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SB11-33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P19041784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崂应2031型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大流量环境空气颗粒物采样器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SB11-34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P19081850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崂应2031型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除湿机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AHFD30WBM</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通用电气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除湿机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6091302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DH-252B</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杭州川井电气有限公司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除湿机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ML2010-80549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MDH-616A</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杭州森井电机制造有限公司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除湿机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1972010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DH-166BD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杭州川井电器有限公司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除湿机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2002010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DH-166BD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杭州川井电器有限公司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除湿机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SB12-08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2082010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DH-166BD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杭州川井电器有限公司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305265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WHM5</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305167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WHM5</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59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305467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WHM5</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305425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WHM5</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SB13-08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8-395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SB13-09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8-397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8-421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8-426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8-438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41032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WHM5</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41818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WHM5</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天津气象仪器厂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2537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69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2801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2859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SB13-19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3110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SB13-20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3347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SB13-21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3373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SB13-22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3476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SB13-23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2707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SB13-24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3352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温湿度表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SB13-25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3071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HM-10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电热恒温水浴锅</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SB14-05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L-807853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DK-S24型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上海精宏设备有限公司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79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电热恒温水浴锅</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SB14-07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L-807811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DK-S24型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上海精宏设备有限公司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电热恒温水浴锅</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SB14-08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603165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HH.S21_4S</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上海跃进医疗器械有限公司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磁力搅拌器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SB15-03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JB-1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上海雷磁﹒创益仪器仪表有限公司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生物显微镜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SB17-02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9F82080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CX-21 </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日本奥林巴斯株式会社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单联万用电热器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SB18-03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单联</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江苏省东台县电器厂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2联万用电热器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SB18-05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2联</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江苏省东台县电器厂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西泠冰箱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806262173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BC183</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杭州西泠制冷电器有限公司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星星立式冷藏陈列柜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SB19-08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J21810707079766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LSC-198CM</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星星集团有限公司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星星立式冷藏陈列柜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SB19-09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J2091003034219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BC-198CF</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星星集团有限公司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容声冰箱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BC-98</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海信容声（广东）冰箱有限公司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89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容声冰箱</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BC-98</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海信容声（广东）冰箱有限公司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90</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星星展示柜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6.90202E+16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LSC-218C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浙江星星家电股份有限公司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91</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星星展示柜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6.90202E+16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LSC-218C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浙江星星家电股份有限公司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92</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星星展示柜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6.90202E+16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LSC-218C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浙江星星家电股份有限公司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93</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海尔立式透明门冷藏柜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BW03N 600N0 0BUD6 ERH4Q</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SC-276</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青岛海尔特种电冰柜有限公司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94</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海尔立式透明门冷藏柜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BW03N 600N0 0B2D5 FF6NF</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SC-276</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青岛海尔特种电冰柜有限公司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95</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海尔卧式冷藏冷冻转换柜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BC/BD-103D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青岛海尔特种电冰柜有限公司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96</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海尔陈列式商用冷柜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SB19-19</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SC-242D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青岛海尔特种电冰柜有限公司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97</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海尔陈列式商用冷柜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SB19-20</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SC-242D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青岛海尔特种电冰柜有限公司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98</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海尔陈列式商用冷柜</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SB19-21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SC-242D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青岛海尔特种电冰柜有限公司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hint="eastAsia" w:ascii="宋体" w:hAnsi="宋体"/>
                <w:color w:val="000000"/>
                <w:kern w:val="0"/>
                <w:sz w:val="16"/>
                <w:szCs w:val="16"/>
              </w:rPr>
              <w:t>99</w:t>
            </w:r>
            <w:r>
              <w:rPr>
                <w:rFonts w:eastAsia="等线"/>
                <w:color w:val="000000"/>
                <w:kern w:val="0"/>
                <w:sz w:val="16"/>
                <w:szCs w:val="16"/>
              </w:rPr>
              <w:t xml:space="preserve"> </w:t>
            </w:r>
            <w:r>
              <w:rPr>
                <w:rFonts w:hint="eastAsia" w:ascii="宋体" w:hAnsi="宋体"/>
                <w:color w:val="000000"/>
                <w:kern w:val="0"/>
                <w:sz w:val="16"/>
                <w:szCs w:val="16"/>
              </w:rPr>
              <w:t>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空盒气压表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SB22-05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19112622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DYM3型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宁波市鄞州姜山玻璃仪器仪表厂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100 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空盒气压表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SB22-06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4661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DYM3型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宁波市鄞州姜山玻璃仪器仪表厂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101 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轻便三杯风向风速表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SB23-04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10L11501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FYF-1</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102 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轻便三杯风向风速表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SB23-05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10L11511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FYF-1</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上海风云气象仪器有限公司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103 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孔口流量校准器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SB25-07</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15050610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崂应7020Z型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104 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智能皂膜流量计</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SB25-08</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3V01020825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崂应7030H</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105 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烟气分析仪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SB26-04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60492207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Testo 350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106 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智能烟气综合分析仪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SB26-05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6231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F550CI</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德国威乐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left"/>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107 </w:t>
            </w:r>
          </w:p>
        </w:tc>
        <w:tc>
          <w:tcPr>
            <w:tcW w:w="136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超低有机物纯水器</w:t>
            </w:r>
          </w:p>
        </w:tc>
        <w:tc>
          <w:tcPr>
            <w:tcW w:w="125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SB27-03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F9NN50919E</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Milli-Q Advantage A10</w:t>
            </w:r>
          </w:p>
        </w:tc>
        <w:tc>
          <w:tcPr>
            <w:tcW w:w="1444" w:type="dxa"/>
            <w:shd w:val="clear" w:color="auto" w:fill="auto"/>
            <w:vAlign w:val="center"/>
          </w:tcPr>
          <w:p>
            <w:pPr>
              <w:widowControl/>
              <w:jc w:val="left"/>
              <w:rPr>
                <w:rFonts w:ascii="Courier New" w:hAnsi="Courier New" w:eastAsia="等线" w:cs="宋体"/>
                <w:color w:val="000000"/>
                <w:kern w:val="0"/>
                <w:sz w:val="16"/>
                <w:szCs w:val="16"/>
              </w:rPr>
            </w:pPr>
            <w:r>
              <w:rPr>
                <w:rFonts w:ascii="Courier New" w:hAnsi="Courier New" w:eastAsia="等线" w:cs="宋体"/>
                <w:color w:val="000000"/>
                <w:kern w:val="0"/>
                <w:sz w:val="16"/>
                <w:szCs w:val="16"/>
              </w:rPr>
              <w:t>美国</w:t>
            </w:r>
            <w:r>
              <w:rPr>
                <w:rFonts w:eastAsia="等线"/>
                <w:color w:val="000000"/>
                <w:kern w:val="0"/>
                <w:sz w:val="16"/>
                <w:szCs w:val="16"/>
              </w:rPr>
              <w:t>Millipore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108 </w:t>
            </w:r>
          </w:p>
        </w:tc>
        <w:tc>
          <w:tcPr>
            <w:tcW w:w="136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超低有机物纯水器</w:t>
            </w:r>
          </w:p>
        </w:tc>
        <w:tc>
          <w:tcPr>
            <w:tcW w:w="125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SB27-04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F3JA78182A</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Milli-Q Advantage A10</w:t>
            </w:r>
          </w:p>
        </w:tc>
        <w:tc>
          <w:tcPr>
            <w:tcW w:w="1444" w:type="dxa"/>
            <w:shd w:val="clear" w:color="auto" w:fill="auto"/>
            <w:vAlign w:val="center"/>
          </w:tcPr>
          <w:p>
            <w:pPr>
              <w:widowControl/>
              <w:jc w:val="left"/>
              <w:rPr>
                <w:rFonts w:ascii="Courier New" w:hAnsi="Courier New" w:eastAsia="等线" w:cs="宋体"/>
                <w:color w:val="000000"/>
                <w:kern w:val="0"/>
                <w:sz w:val="16"/>
                <w:szCs w:val="16"/>
              </w:rPr>
            </w:pPr>
            <w:r>
              <w:rPr>
                <w:rFonts w:ascii="Courier New" w:hAnsi="Courier New" w:eastAsia="等线" w:cs="宋体"/>
                <w:color w:val="000000"/>
                <w:kern w:val="0"/>
                <w:sz w:val="16"/>
                <w:szCs w:val="16"/>
              </w:rPr>
              <w:t>美国</w:t>
            </w:r>
            <w:r>
              <w:rPr>
                <w:rFonts w:eastAsia="等线"/>
                <w:color w:val="000000"/>
                <w:kern w:val="0"/>
                <w:sz w:val="16"/>
                <w:szCs w:val="16"/>
              </w:rPr>
              <w:t>Millipore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109 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自动烟尘（气）测试仪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SB28-03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A08255721X</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崂应3012H</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110 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自动烟尘（气）测试仪（新08代）</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SB28-04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A08423737X</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崂应3012H</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111 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萃取装置</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SB29-03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CQ1000-Ⅲ</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吉林欧伊尔环保科技发展有限公司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112 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可调控温电热套</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SB30-03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YH型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华鲁电热仪器有限公司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113 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可调控温电热套</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SB30-04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YH型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华鲁电热仪器有限公司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114 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可调控温电热套</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SB30-05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YH型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华鲁电热仪器有限公司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115 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智能水样分瓶采样器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SB31-01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213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ZSC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杭州恒达工业自动技术有限公司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116 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智能水样分瓶采样器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SB31-02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214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ZSC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杭州恒达工业自动技术有限公司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117 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旋桨式流速仪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SB32-01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60052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LS10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重庆华正水文仪器有限公司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118 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打印式流速测量仪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SB32-03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2014220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LJD-10A型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重庆华正水文仪器有限公司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119 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甲醛测试仪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SB33-01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886532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4160-2</w:t>
            </w:r>
          </w:p>
        </w:tc>
        <w:tc>
          <w:tcPr>
            <w:tcW w:w="1444"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interscan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120 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多功能气体报警器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SB33-02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901129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PGM7840</w:t>
            </w:r>
          </w:p>
        </w:tc>
        <w:tc>
          <w:tcPr>
            <w:tcW w:w="1444"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RAE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121 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氨气监测仪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SB33-03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30904822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PGM1191</w:t>
            </w:r>
          </w:p>
        </w:tc>
        <w:tc>
          <w:tcPr>
            <w:tcW w:w="1444"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RAE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122 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VRAE手持式多气体检测仪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SB33-04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018-2113-703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PGM-7800</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美国RAE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123 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ppbRAE3000手持式VOC气体检测仪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SB33-05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059-C110-000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PGM-7340</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美国RAE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124 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多功能辐射仪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SB33-06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12905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AT1117MPU</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白俄罗斯原子科学公司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125 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BOD快速测定仪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SB34-03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B2206CE1934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BOD-220B</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天津赛普环保科技发展有限公司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126 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标准COD消解仪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SB34-04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61406126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HCA-100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泰州市华晨仪器有限公司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127 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标准COD消解仪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SB34-05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61407118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HCA-100</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泰州市华晨仪器有限公司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128 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标准COD消解器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SB34-06</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8181133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HCA-101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泰州市华晨仪器有限公司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129 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离心机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SB35-02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K104-0348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TD4</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湖南凯达科学仪器有限公司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130 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现场嗅辨式测量仪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SB36-01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90201121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NasalRanger</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NasalRanger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131 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超声波清洗器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SB37-01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286089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KQ5200V</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昆山市超声仪器有限公司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132 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离子色谱仪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SB38-02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200170014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AQUION RFIC</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thermo scientific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133 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气相色谱仪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SB39-01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US10904016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7890A</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美国安捷伦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134 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便携式空气采样器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SB40-11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2J04003678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崂应2020型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135 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便携式空气采样器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SB40-12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2J04005760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崂应2020型</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136 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便携式空气采样器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SB40-13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2J04003498</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崂应2020型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137 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便携式空气采样器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SB40-14</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2J04004075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崂应2020型</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青岛崂山应用技术研究所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138 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超净工作台</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SB41-01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84829626</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ZH-C1109B</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上海智城分析仪器制造有限公司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139 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电热板</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SB42-01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90203G1510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EG20B</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北京兰伯泰科仪器有限公司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140 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测距仪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SB43-01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248123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1000XL</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w:t>
            </w:r>
            <w:r>
              <w:rPr>
                <w:color w:val="000000"/>
                <w:kern w:val="0"/>
                <w:sz w:val="16"/>
                <w:szCs w:val="16"/>
              </w:rPr>
              <w:t>Optic-logic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141 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原子吸收光谱仪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SB45-02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AA350610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iCE3500</w:t>
            </w:r>
          </w:p>
        </w:tc>
        <w:tc>
          <w:tcPr>
            <w:tcW w:w="1444"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Thermo Fisher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142 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老化仪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SB46-01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R-10407</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TC-20</w:t>
            </w:r>
          </w:p>
        </w:tc>
        <w:tc>
          <w:tcPr>
            <w:tcW w:w="1444" w:type="dxa"/>
            <w:shd w:val="clear" w:color="auto" w:fill="auto"/>
            <w:vAlign w:val="center"/>
          </w:tcPr>
          <w:p>
            <w:pPr>
              <w:widowControl/>
              <w:jc w:val="left"/>
              <w:rPr>
                <w:rFonts w:eastAsia="等线"/>
                <w:color w:val="000000"/>
                <w:kern w:val="0"/>
                <w:sz w:val="16"/>
                <w:szCs w:val="16"/>
              </w:rPr>
            </w:pPr>
            <w:r>
              <w:rPr>
                <w:rFonts w:eastAsia="等线"/>
                <w:color w:val="000000"/>
                <w:kern w:val="0"/>
                <w:sz w:val="16"/>
                <w:szCs w:val="16"/>
              </w:rPr>
              <w:t>MARKES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143 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便携式气相色谱仪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SB47-01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70022239</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CMS100</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w:t>
            </w:r>
            <w:r>
              <w:rPr>
                <w:color w:val="000000"/>
                <w:kern w:val="0"/>
                <w:sz w:val="16"/>
                <w:szCs w:val="16"/>
              </w:rPr>
              <w:t>INFICON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144 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发光红菌毒性检测仪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SB48-01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1001592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Delta Tox</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w:t>
            </w:r>
            <w:r>
              <w:rPr>
                <w:color w:val="000000"/>
                <w:kern w:val="0"/>
                <w:sz w:val="16"/>
                <w:szCs w:val="16"/>
              </w:rPr>
              <w:t>SDI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145 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气质联用仪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SB49-01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665S09110504/664N9100101</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Clarus 600/ Clarus 600T</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Perkin Elmer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146 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分液漏斗振荡器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SB50-02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W306160202</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WS-1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德国维根斯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147 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分液漏斗振荡器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SB50-03</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W306160105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WS-1</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德国维根斯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148 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调速多用振荡器</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SB50-05</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20218330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HY-2</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常州国宇仪器制造有限公司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149 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便携式多功能辐射测量仪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SB51-01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28445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FH 40 G-L10（E）/FHZ672E-10</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150 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全频段电磁辐射分析仪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SB51-02</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E-1055</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NBM-550/EF-0391/EHF-50D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德国纳达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151 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智能程控定量封口机</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SB52-01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150980</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2009D</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美国爱德士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152 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一体化蒸馏仪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SB53-01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20181203</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GGC-J</w:t>
            </w:r>
          </w:p>
        </w:tc>
        <w:tc>
          <w:tcPr>
            <w:tcW w:w="1444" w:type="dxa"/>
            <w:shd w:val="clear" w:color="auto" w:fill="auto"/>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北京国环高科自动化技术研究院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vAlign w:val="center"/>
          </w:tcPr>
          <w:p>
            <w:pPr>
              <w:widowControl/>
              <w:jc w:val="center"/>
              <w:rPr>
                <w:rFonts w:hint="eastAsia" w:eastAsia="等线"/>
                <w:color w:val="000000"/>
                <w:kern w:val="0"/>
                <w:sz w:val="16"/>
                <w:szCs w:val="16"/>
              </w:rPr>
            </w:pPr>
            <w:r>
              <w:rPr>
                <w:rFonts w:eastAsia="等线"/>
                <w:color w:val="000000"/>
                <w:kern w:val="0"/>
                <w:sz w:val="16"/>
                <w:szCs w:val="16"/>
              </w:rPr>
              <w:t xml:space="preserve">  </w:t>
            </w:r>
            <w:r>
              <w:rPr>
                <w:rFonts w:hint="eastAsia" w:ascii="宋体" w:hAnsi="宋体"/>
                <w:color w:val="000000"/>
                <w:kern w:val="0"/>
                <w:sz w:val="16"/>
                <w:szCs w:val="16"/>
              </w:rPr>
              <w:t>153 </w:t>
            </w:r>
          </w:p>
        </w:tc>
        <w:tc>
          <w:tcPr>
            <w:tcW w:w="1364" w:type="dxa"/>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GPS定位仪</w:t>
            </w:r>
          </w:p>
        </w:tc>
        <w:tc>
          <w:tcPr>
            <w:tcW w:w="1254"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SB54-01</w:t>
            </w:r>
          </w:p>
        </w:tc>
        <w:tc>
          <w:tcPr>
            <w:tcW w:w="2136"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UG0801P224380124</w:t>
            </w:r>
          </w:p>
        </w:tc>
        <w:tc>
          <w:tcPr>
            <w:tcW w:w="1361" w:type="dxa"/>
            <w:shd w:val="clear" w:color="auto" w:fill="auto"/>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UG801P</w:t>
            </w:r>
          </w:p>
        </w:tc>
        <w:tc>
          <w:tcPr>
            <w:tcW w:w="1444" w:type="dxa"/>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北京合众思壮科技股份有限公司</w:t>
            </w:r>
          </w:p>
        </w:tc>
      </w:tr>
    </w:tbl>
    <w:p/>
    <w:p/>
    <w:p>
      <w:pPr>
        <w:pStyle w:val="3"/>
        <w:jc w:val="both"/>
        <w:rPr>
          <w:rFonts w:hint="eastAsia"/>
        </w:rPr>
      </w:pPr>
    </w:p>
    <w:p>
      <w:pPr>
        <w:pStyle w:val="3"/>
        <w:jc w:val="both"/>
        <w:rPr>
          <w:rFonts w:hint="eastAsia"/>
        </w:rPr>
      </w:pPr>
    </w:p>
    <w:p/>
    <w:p/>
    <w:p>
      <w:pPr>
        <w:pStyle w:val="3"/>
        <w:ind w:firstLine="3092" w:firstLineChars="1100"/>
        <w:jc w:val="both"/>
      </w:pPr>
      <w:r>
        <w:rPr>
          <w:rFonts w:hint="eastAsia"/>
        </w:rPr>
        <w:t>2</w:t>
      </w:r>
      <w:r>
        <w:t xml:space="preserve">. </w:t>
      </w:r>
      <w:r>
        <w:rPr>
          <w:rFonts w:hint="eastAsia"/>
        </w:rPr>
        <w:t>试剂耗材清单</w:t>
      </w:r>
    </w:p>
    <w:tbl>
      <w:tblPr>
        <w:tblStyle w:val="13"/>
        <w:tblW w:w="8296" w:type="dxa"/>
        <w:tblInd w:w="0" w:type="dxa"/>
        <w:tblLayout w:type="fixed"/>
        <w:tblCellMar>
          <w:top w:w="0" w:type="dxa"/>
          <w:left w:w="108" w:type="dxa"/>
          <w:bottom w:w="0" w:type="dxa"/>
          <w:right w:w="108" w:type="dxa"/>
        </w:tblCellMar>
      </w:tblPr>
      <w:tblGrid>
        <w:gridCol w:w="1196"/>
        <w:gridCol w:w="3523"/>
        <w:gridCol w:w="1695"/>
        <w:gridCol w:w="876"/>
        <w:gridCol w:w="1006"/>
      </w:tblGrid>
      <w:tr>
        <w:tblPrEx>
          <w:tblCellMar>
            <w:top w:w="0" w:type="dxa"/>
            <w:left w:w="108" w:type="dxa"/>
            <w:bottom w:w="0" w:type="dxa"/>
            <w:right w:w="108" w:type="dxa"/>
          </w:tblCellMar>
        </w:tblPrEx>
        <w:trPr>
          <w:trHeight w:val="283"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5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名称</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规格级别</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单位</w:t>
            </w: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库存</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快速移液管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快速移液管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快速移液管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快速移液管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单刻度移液管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白容量瓶</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25ml</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棕色容量瓶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棕色容量瓶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棕色容量瓶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棕色容量瓶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棕小口试剂瓶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白试剂瓶（大口）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白试剂瓶（大口）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白试剂瓶（大口）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棕试剂瓶（大口）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棕试剂瓶（大口）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棕试剂瓶（大口）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三角烧瓶（广口）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磨口三角烧瓶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具塞三角烧瓶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碘烧瓶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具塞比色管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具塞比色管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具塞比色管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具塞比色管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座式微量滴定管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自动棕色滴定管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自动棕色滴定管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石英比色皿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1cm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石英比色皿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3cm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玻璃比色皿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1cm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玻璃比色皿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3cm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蒸发皿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表面皿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60mm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有机玻璃比色管架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10ml*12孔</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有机玻璃比色管架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25ml*12孔</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有机玻璃比色管架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50ml*12孔</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有机玻璃比色管架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100ml*12孔</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四孔分液漏斗架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250ml*4孔</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吸管架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梯形</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吸管架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圆盘</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量筒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量筒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量筒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量筒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量筒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具塞量筒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烧杯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PM10滤膜k-49型</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200*250mm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TSP滤膜（玻纤）</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￠90mm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微孔滤膜（聚偏氟乙烯）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50mmx0.45*50张</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微孔滤膜（玻纤）</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0.45，60mmx50张</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微孔滤膜（乙酸）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0.45，60mmx100张</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微孔滤膜（玻纤）</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0.7，60mmx50张</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微孔滤膜（乙酸）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0.45，50mmx100张</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玻璃纤维滤筒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3号*20只</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石英滤筒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25*90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石英滤筒进口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25*70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pH缓冲剂</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PH广范试纸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精密试纸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6.4-8.0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精密试纸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0.5-5.0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包</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PH复合电极</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E-201-C</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PH复合电极</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E-201-F</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离子选择性电极</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PF-1型</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镊子</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定性滤纸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中速</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包</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药匙</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变色硅胶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一次性手套</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包</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医用乳胶手套</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付</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胶管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胶管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胶管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玻璃调药棒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直型常量定氮仪</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医用胶布</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干燥缸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300mm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一次性注射器</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一次性注射器</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样品过滤头（有机系）</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0.22um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可调定量加液器</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短管标准漏斗</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75cm</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冰醋酸（冰乙酸）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N,N-二甲基甲酰胺</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异丙醇</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氨水</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苯酚</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乙酰丙酮</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二硫化碳</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500ml,进口</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四氯乙烯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正己烷</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4L，进口</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三乙醇胺</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次氯酸钠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乙二醇</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无水乙醇</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硫酸银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1,10-菲啰啉</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硫酸亚铁铵(六水)</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六水合硝酸锌</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乙二胺四乙酸二钠盐 二水</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氢氧化钾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氢氧化钾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500g,GR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三水 氯胺T</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酒石酸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1-苯基-3-甲基-5-吡唑啉酮</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100g,CP</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铬酸钾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碘酸钾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50g,基准</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磷酸氢二铵</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磷酸二氢钾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磷酸氢二钠（十二水）</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磷酸二氢钠（二水）</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一水合硫酸锰</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无水葡萄糖</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L-谷氨酸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100g,BR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五水合硫代硫酸钠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七水 硫酸镁</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二水乙酸锌</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碘</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4-氨基-N,N-二甲基苯胺盐酸盐</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25g,CP</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三水 亚甲基蓝</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25g,BS</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碘化钾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八水硫酸镉</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磷酸二氢铵</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钼酸铵</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抗坏血酸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过硫酸钾（进口）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250g,AR进口</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氢氧化钠（片状）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酒石酸钾钠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4-氨基安替比林</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25g，环保试剂</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甲基橙</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溴甲酚绿</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10g,指示剂级</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无水乙酸钠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氟试剂（茜素络合）</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1g，指示剂级</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硝酸镧</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25g，CP</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97"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二乙基二硫代氨基甲酸银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5g,指示剂</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1,5-二苯基碳酰二肼（二苯氨基脲）</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无水硫酸钠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硅酸镁</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250g，60-80目</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氯化钠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无水氯化钙</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米吐尔（对甲氨基酚硫酸盐）</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二水合 草酸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甲基红</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酚酞</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25g,指示剂</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反式-1.2-环己二胺四乙酸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硫酸氢钾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乙酰胺</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氢氧化铝</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邻苯二甲酸氢钾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氨基磺酸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4-氨基苯磺酸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盐酸付玫瑰苯胺</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1mol/L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可溶性淀粉</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钒试剂</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亚硝酸钠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尿素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偏重亚硫酸钠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磷酸氢二钾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异烟酸（进口）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氯化铵</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氯化铵</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500g,GR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草酸钠（进口）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500g,GE</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硫酸肼</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硫酸肼</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硼酸（进口）</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硫化钠</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锡粒</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500g,CP</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盐酸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500ml,GR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硫酸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500ml,GR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丙酮</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三氯甲烷</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500ml,AR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28</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硝酸</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500ml,GR</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锌粉</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硝酸银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25g</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高锰酸钾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500g</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硝酸铯</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5g</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重铬酸钾</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50g，基准</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不锈钢试管架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15.5*30孔</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206</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乙烯刻度小口瓶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207</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乙烯刻度小口瓶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乙烯刻度小口瓶</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209</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平口试管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15*150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210</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小导管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6*30</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211</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硅胶塞</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400</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212</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十字夹</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213</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冷凝管</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r>
      <w:tr>
        <w:tblPrEx>
          <w:tblCellMar>
            <w:top w:w="0" w:type="dxa"/>
            <w:left w:w="108" w:type="dxa"/>
            <w:bottom w:w="0" w:type="dxa"/>
            <w:right w:w="108" w:type="dxa"/>
          </w:tblCellMar>
        </w:tblPrEx>
        <w:trPr>
          <w:trHeight w:val="283" w:hRule="atLeast"/>
        </w:trPr>
        <w:tc>
          <w:tcPr>
            <w:tcW w:w="119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214</w:t>
            </w:r>
          </w:p>
        </w:tc>
        <w:tc>
          <w:tcPr>
            <w:tcW w:w="3523" w:type="dxa"/>
            <w:tcBorders>
              <w:top w:val="nil"/>
              <w:left w:val="nil"/>
              <w:bottom w:val="single" w:color="auto" w:sz="4" w:space="0"/>
              <w:right w:val="single" w:color="auto" w:sz="4" w:space="0"/>
            </w:tcBorders>
            <w:shd w:val="clear" w:color="auto" w:fill="auto"/>
            <w:vAlign w:val="bottom"/>
          </w:tcPr>
          <w:p>
            <w:pPr>
              <w:widowControl/>
              <w:jc w:val="center"/>
              <w:rPr>
                <w:rFonts w:hint="eastAsia" w:ascii="Agilent TT Cond" w:hAnsi="Agilent TT Cond" w:eastAsia="等线" w:cs="宋体"/>
                <w:color w:val="000000"/>
                <w:kern w:val="0"/>
                <w:sz w:val="20"/>
                <w:szCs w:val="20"/>
              </w:rPr>
            </w:pPr>
            <w:r>
              <w:rPr>
                <w:rFonts w:ascii="Agilent TT Cond" w:hAnsi="Agilent TT Cond" w:eastAsia="等线" w:cs="宋体"/>
                <w:color w:val="000000"/>
                <w:kern w:val="0"/>
                <w:sz w:val="20"/>
                <w:szCs w:val="20"/>
              </w:rPr>
              <w:t>砷发器</w:t>
            </w:r>
          </w:p>
        </w:tc>
        <w:tc>
          <w:tcPr>
            <w:tcW w:w="16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100ml</w:t>
            </w:r>
          </w:p>
        </w:tc>
        <w:tc>
          <w:tcPr>
            <w:tcW w:w="87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00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w:t>
            </w:r>
          </w:p>
        </w:tc>
      </w:tr>
    </w:tbl>
    <w:p/>
    <w:p/>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Agilent TT Cond">
    <w:altName w:val="Segoe Print"/>
    <w:panose1 w:val="020B0606020002020203"/>
    <w:charset w:val="00"/>
    <w:family w:val="decorative"/>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747B5"/>
    <w:multiLevelType w:val="multilevel"/>
    <w:tmpl w:val="097747B5"/>
    <w:lvl w:ilvl="0" w:tentative="0">
      <w:start w:val="3"/>
      <w:numFmt w:val="decimal"/>
      <w:lvlText w:val="%1、"/>
      <w:lvlJc w:val="left"/>
      <w:pPr>
        <w:ind w:left="360" w:hanging="360"/>
      </w:pPr>
      <w:rPr>
        <w:rFonts w:hint="default" w:cs="宋体"/>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725FC2"/>
    <w:multiLevelType w:val="multilevel"/>
    <w:tmpl w:val="2B725FC2"/>
    <w:lvl w:ilvl="0" w:tentative="0">
      <w:start w:val="1"/>
      <w:numFmt w:val="lowerLetter"/>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iZGI3ZDRlZGY2Y2EwNzQzNjBkMWZmMWNmZmZlZTkifQ=="/>
  </w:docVars>
  <w:rsids>
    <w:rsidRoot w:val="00A66953"/>
    <w:rsid w:val="001C0346"/>
    <w:rsid w:val="00265335"/>
    <w:rsid w:val="00287BEF"/>
    <w:rsid w:val="00334AAC"/>
    <w:rsid w:val="005613B6"/>
    <w:rsid w:val="005D307F"/>
    <w:rsid w:val="006A6E10"/>
    <w:rsid w:val="007B4260"/>
    <w:rsid w:val="007D5D1B"/>
    <w:rsid w:val="009B3E57"/>
    <w:rsid w:val="00A66953"/>
    <w:rsid w:val="00A9732A"/>
    <w:rsid w:val="00CB5CD6"/>
    <w:rsid w:val="00D8071E"/>
    <w:rsid w:val="00EC5679"/>
    <w:rsid w:val="0C7E61CE"/>
    <w:rsid w:val="0D1F15BD"/>
    <w:rsid w:val="127B54E8"/>
    <w:rsid w:val="332E7742"/>
    <w:rsid w:val="346354E8"/>
    <w:rsid w:val="36C2252B"/>
    <w:rsid w:val="5315633E"/>
    <w:rsid w:val="6B096147"/>
    <w:rsid w:val="6BAD2DB5"/>
    <w:rsid w:val="789A0AEB"/>
    <w:rsid w:val="79966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220"/>
      <w:jc w:val="center"/>
      <w:outlineLvl w:val="0"/>
    </w:pPr>
    <w:rPr>
      <w:rFonts w:ascii="黑体" w:hAnsi="黑体" w:eastAsia="黑体" w:cs="黑体"/>
      <w:b/>
      <w:bCs/>
      <w:kern w:val="44"/>
      <w:sz w:val="28"/>
      <w:szCs w:val="28"/>
    </w:rPr>
  </w:style>
  <w:style w:type="paragraph" w:styleId="3">
    <w:name w:val="heading 2"/>
    <w:basedOn w:val="1"/>
    <w:next w:val="1"/>
    <w:link w:val="18"/>
    <w:qFormat/>
    <w:uiPriority w:val="0"/>
    <w:pPr>
      <w:keepNext/>
      <w:keepLines/>
      <w:spacing w:before="260" w:after="260"/>
      <w:jc w:val="center"/>
      <w:outlineLvl w:val="1"/>
    </w:pPr>
    <w:rPr>
      <w:rFonts w:ascii="黑体" w:hAnsi="黑体" w:eastAsia="黑体" w:cs="黑体"/>
      <w:b/>
      <w:bCs/>
      <w:sz w:val="28"/>
      <w:szCs w:val="28"/>
    </w:rPr>
  </w:style>
  <w:style w:type="paragraph" w:styleId="4">
    <w:name w:val="heading 3"/>
    <w:basedOn w:val="1"/>
    <w:next w:val="1"/>
    <w:link w:val="19"/>
    <w:unhideWhenUsed/>
    <w:qFormat/>
    <w:uiPriority w:val="9"/>
    <w:pPr>
      <w:keepNext/>
      <w:keepLines/>
      <w:spacing w:before="40" w:line="259" w:lineRule="auto"/>
      <w:outlineLvl w:val="2"/>
    </w:pPr>
    <w:rPr>
      <w:rFonts w:ascii="黑体" w:hAnsi="黑体" w:eastAsia="黑体" w:cs="黑体"/>
      <w:b/>
      <w:sz w:val="24"/>
      <w:szCs w:val="21"/>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3"/>
    <w:qFormat/>
    <w:uiPriority w:val="0"/>
    <w:pPr>
      <w:spacing w:after="120"/>
    </w:pPr>
    <w:rPr>
      <w:kern w:val="0"/>
      <w:sz w:val="28"/>
    </w:rPr>
  </w:style>
  <w:style w:type="paragraph" w:styleId="6">
    <w:name w:val="toc 5"/>
    <w:basedOn w:val="1"/>
    <w:next w:val="1"/>
    <w:unhideWhenUsed/>
    <w:qFormat/>
    <w:uiPriority w:val="39"/>
    <w:pPr>
      <w:ind w:left="1680" w:leftChars="800"/>
    </w:pPr>
    <w:rPr>
      <w:rFonts w:ascii="宋体" w:hAnsi="宋体" w:cs="宋体"/>
      <w:szCs w:val="21"/>
    </w:rPr>
  </w:style>
  <w:style w:type="paragraph" w:styleId="7">
    <w:name w:val="toc 3"/>
    <w:basedOn w:val="1"/>
    <w:next w:val="1"/>
    <w:unhideWhenUsed/>
    <w:qFormat/>
    <w:uiPriority w:val="39"/>
    <w:pPr>
      <w:tabs>
        <w:tab w:val="right" w:leader="dot" w:pos="8302"/>
      </w:tabs>
      <w:spacing w:after="100"/>
      <w:ind w:left="420"/>
    </w:pPr>
    <w:rPr>
      <w:rFonts w:ascii="宋体" w:hAnsi="宋体"/>
      <w:spacing w:val="-6"/>
      <w:szCs w:val="32"/>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宋体" w:hAnsi="宋体" w:cs="宋体"/>
      <w:szCs w:val="21"/>
    </w:rPr>
  </w:style>
  <w:style w:type="paragraph" w:styleId="11">
    <w:name w:val="toc 4"/>
    <w:basedOn w:val="1"/>
    <w:next w:val="1"/>
    <w:unhideWhenUsed/>
    <w:qFormat/>
    <w:uiPriority w:val="39"/>
    <w:pPr>
      <w:tabs>
        <w:tab w:val="right" w:leader="dot" w:pos="8302"/>
      </w:tabs>
      <w:spacing w:after="100"/>
      <w:ind w:left="630"/>
    </w:pPr>
  </w:style>
  <w:style w:type="paragraph" w:styleId="12">
    <w:name w:val="toc 2"/>
    <w:basedOn w:val="1"/>
    <w:next w:val="1"/>
    <w:link w:val="20"/>
    <w:unhideWhenUsed/>
    <w:qFormat/>
    <w:uiPriority w:val="39"/>
    <w:pPr>
      <w:tabs>
        <w:tab w:val="right" w:leader="dot" w:pos="8302"/>
      </w:tabs>
      <w:spacing w:after="100"/>
      <w:ind w:left="210"/>
    </w:pPr>
    <w:rPr>
      <w:rFonts w:ascii="宋体" w:hAnsi="宋体" w:cstheme="minorEastAsia"/>
      <w:szCs w:val="21"/>
    </w:rPr>
  </w:style>
  <w:style w:type="character" w:styleId="15">
    <w:name w:val="FollowedHyperlink"/>
    <w:basedOn w:val="14"/>
    <w:unhideWhenUsed/>
    <w:qFormat/>
    <w:uiPriority w:val="99"/>
    <w:rPr>
      <w:color w:val="954F72"/>
      <w:u w:val="single"/>
    </w:rPr>
  </w:style>
  <w:style w:type="character" w:styleId="16">
    <w:name w:val="Hyperlink"/>
    <w:basedOn w:val="14"/>
    <w:unhideWhenUsed/>
    <w:qFormat/>
    <w:uiPriority w:val="99"/>
    <w:rPr>
      <w:color w:val="0563C1"/>
      <w:u w:val="single"/>
    </w:rPr>
  </w:style>
  <w:style w:type="character" w:customStyle="1" w:styleId="17">
    <w:name w:val="标题 1 字符"/>
    <w:basedOn w:val="14"/>
    <w:link w:val="2"/>
    <w:qFormat/>
    <w:uiPriority w:val="9"/>
    <w:rPr>
      <w:rFonts w:ascii="黑体" w:hAnsi="黑体" w:eastAsia="黑体" w:cs="黑体"/>
      <w:b/>
      <w:bCs/>
      <w:kern w:val="44"/>
      <w:sz w:val="28"/>
      <w:szCs w:val="28"/>
    </w:rPr>
  </w:style>
  <w:style w:type="character" w:customStyle="1" w:styleId="18">
    <w:name w:val="标题 2 字符"/>
    <w:basedOn w:val="14"/>
    <w:link w:val="3"/>
    <w:qFormat/>
    <w:uiPriority w:val="0"/>
    <w:rPr>
      <w:rFonts w:ascii="黑体" w:hAnsi="黑体" w:eastAsia="黑体" w:cs="黑体"/>
      <w:b/>
      <w:bCs/>
      <w:sz w:val="28"/>
      <w:szCs w:val="28"/>
    </w:rPr>
  </w:style>
  <w:style w:type="character" w:customStyle="1" w:styleId="19">
    <w:name w:val="标题 3 字符"/>
    <w:basedOn w:val="14"/>
    <w:link w:val="4"/>
    <w:qFormat/>
    <w:uiPriority w:val="9"/>
    <w:rPr>
      <w:rFonts w:ascii="黑体" w:hAnsi="黑体" w:eastAsia="黑体" w:cs="黑体"/>
      <w:b/>
      <w:sz w:val="24"/>
      <w:szCs w:val="21"/>
    </w:rPr>
  </w:style>
  <w:style w:type="character" w:customStyle="1" w:styleId="20">
    <w:name w:val="TOC 2 字符"/>
    <w:link w:val="12"/>
    <w:qFormat/>
    <w:uiPriority w:val="39"/>
    <w:rPr>
      <w:rFonts w:ascii="宋体" w:hAnsi="宋体" w:eastAsia="宋体" w:cstheme="minorEastAsia"/>
      <w:szCs w:val="21"/>
    </w:rPr>
  </w:style>
  <w:style w:type="character" w:customStyle="1" w:styleId="21">
    <w:name w:val="页眉 字符"/>
    <w:basedOn w:val="14"/>
    <w:link w:val="9"/>
    <w:qFormat/>
    <w:uiPriority w:val="99"/>
    <w:rPr>
      <w:sz w:val="18"/>
      <w:szCs w:val="18"/>
    </w:rPr>
  </w:style>
  <w:style w:type="character" w:customStyle="1" w:styleId="22">
    <w:name w:val="页脚 字符"/>
    <w:basedOn w:val="14"/>
    <w:link w:val="8"/>
    <w:qFormat/>
    <w:uiPriority w:val="99"/>
    <w:rPr>
      <w:sz w:val="18"/>
      <w:szCs w:val="18"/>
    </w:rPr>
  </w:style>
  <w:style w:type="character" w:customStyle="1" w:styleId="23">
    <w:name w:val="正文文本 字符"/>
    <w:basedOn w:val="14"/>
    <w:link w:val="5"/>
    <w:qFormat/>
    <w:uiPriority w:val="0"/>
    <w:rPr>
      <w:rFonts w:ascii="Times New Roman" w:hAnsi="Times New Roman" w:eastAsia="宋体" w:cs="Times New Roman"/>
      <w:kern w:val="0"/>
      <w:sz w:val="28"/>
      <w:szCs w:val="24"/>
    </w:rPr>
  </w:style>
  <w:style w:type="paragraph" w:customStyle="1" w:styleId="24">
    <w:name w:val="List Paragraph"/>
    <w:basedOn w:val="1"/>
    <w:qFormat/>
    <w:uiPriority w:val="34"/>
    <w:pPr>
      <w:widowControl/>
      <w:ind w:left="720" w:firstLine="360"/>
      <w:contextualSpacing/>
      <w:jc w:val="left"/>
    </w:pPr>
    <w:rPr>
      <w:rFonts w:ascii="Calibri" w:hAnsi="Calibri"/>
      <w:kern w:val="0"/>
      <w:sz w:val="22"/>
      <w:szCs w:val="22"/>
      <w:lang w:eastAsia="en-US" w:bidi="en-US"/>
    </w:rPr>
  </w:style>
  <w:style w:type="paragraph" w:customStyle="1" w:styleId="25">
    <w:name w:val="Table Paragraph"/>
    <w:basedOn w:val="1"/>
    <w:qFormat/>
    <w:uiPriority w:val="1"/>
    <w:pPr>
      <w:widowControl/>
      <w:spacing w:after="160" w:line="259" w:lineRule="auto"/>
      <w:jc w:val="left"/>
    </w:pPr>
    <w:rPr>
      <w:rFonts w:ascii="微软雅黑" w:hAnsi="微软雅黑" w:eastAsia="微软雅黑" w:cs="微软雅黑"/>
      <w:kern w:val="0"/>
      <w:sz w:val="22"/>
      <w:szCs w:val="22"/>
      <w:lang w:val="zh-CN" w:bidi="zh-CN"/>
    </w:rPr>
  </w:style>
  <w:style w:type="paragraph" w:customStyle="1" w:styleId="2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font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8">
    <w:name w:val="font6"/>
    <w:basedOn w:val="1"/>
    <w:qFormat/>
    <w:uiPriority w:val="0"/>
    <w:pPr>
      <w:widowControl/>
      <w:spacing w:before="100" w:beforeAutospacing="1" w:after="100" w:afterAutospacing="1"/>
      <w:jc w:val="left"/>
    </w:pPr>
    <w:rPr>
      <w:color w:val="000000"/>
      <w:kern w:val="0"/>
      <w:sz w:val="16"/>
      <w:szCs w:val="16"/>
    </w:rPr>
  </w:style>
  <w:style w:type="paragraph" w:customStyle="1" w:styleId="29">
    <w:name w:val="font7"/>
    <w:basedOn w:val="1"/>
    <w:qFormat/>
    <w:uiPriority w:val="0"/>
    <w:pPr>
      <w:widowControl/>
      <w:spacing w:before="100" w:beforeAutospacing="1" w:after="100" w:afterAutospacing="1"/>
      <w:jc w:val="left"/>
    </w:pPr>
    <w:rPr>
      <w:rFonts w:ascii="Courier New" w:hAnsi="Courier New" w:cs="宋体"/>
      <w:color w:val="000000"/>
      <w:kern w:val="0"/>
      <w:sz w:val="16"/>
      <w:szCs w:val="16"/>
    </w:rPr>
  </w:style>
  <w:style w:type="paragraph" w:customStyle="1" w:styleId="30">
    <w:name w:val="xl6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1">
    <w:name w:val="xl64"/>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3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3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u w:val="single"/>
    </w:rPr>
  </w:style>
  <w:style w:type="paragraph" w:customStyle="1" w:styleId="3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ourier New" w:hAnsi="Courier New" w:cs="宋体"/>
      <w:kern w:val="0"/>
      <w:sz w:val="16"/>
      <w:szCs w:val="16"/>
    </w:rPr>
  </w:style>
  <w:style w:type="paragraph" w:customStyle="1" w:styleId="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gilent TT Cond" w:hAnsi="Agilent TT Cond" w:cs="宋体"/>
      <w:kern w:val="0"/>
      <w:sz w:val="20"/>
      <w:szCs w:val="20"/>
    </w:rPr>
  </w:style>
  <w:style w:type="paragraph" w:customStyle="1" w:styleId="3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gilent TT Cond" w:hAnsi="Agilent TT Cond" w:cs="宋体"/>
      <w:kern w:val="0"/>
      <w:sz w:val="20"/>
      <w:szCs w:val="20"/>
    </w:rPr>
  </w:style>
  <w:style w:type="paragraph" w:customStyle="1" w:styleId="4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gilent TT Cond" w:hAnsi="Agilent TT Cond" w:cs="宋体"/>
      <w:kern w:val="0"/>
      <w:sz w:val="20"/>
      <w:szCs w:val="20"/>
    </w:rPr>
  </w:style>
  <w:style w:type="paragraph" w:customStyle="1" w:styleId="4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gilent TT Cond" w:hAnsi="Agilent TT Cond"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11689</Words>
  <Characters>16537</Characters>
  <Lines>138</Lines>
  <Paragraphs>39</Paragraphs>
  <TotalTime>1</TotalTime>
  <ScaleCrop>false</ScaleCrop>
  <LinksUpToDate>false</LinksUpToDate>
  <CharactersWithSpaces>16955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2022-03-28T03:12:00Z</dcterms:created>
  <dc:creator>LV,CHANG-LIANG (Agilent CHN)</dc:creator>
  <cp:lastModifiedBy>小孩</cp:lastModifiedBy>
  <dcterms:modified xsi:type="dcterms:W3CDTF">2022-09-07T06:24:31Z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27552DAFD06748CD8C7502D9927B5DF1</vt:lpwstr>
  </property>
</Properties>
</file>