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方正小标宋简体" w:eastAsia="方正小标宋简体"/>
          <w:bCs/>
          <w:color w:val="000000" w:themeColor="text1"/>
          <w:sz w:val="40"/>
          <w:szCs w:val="40"/>
          <w:shd w:val="clear" w:color="auto" w:fill="FFFFFF"/>
          <w14:textFill>
            <w14:solidFill>
              <w14:schemeClr w14:val="tx1"/>
            </w14:solidFill>
          </w14:textFill>
        </w:rPr>
      </w:pPr>
      <w:r>
        <w:rPr>
          <w:rFonts w:hint="eastAsia" w:ascii="方正小标宋简体" w:eastAsia="方正小标宋简体"/>
          <w:bCs/>
          <w:color w:val="000000" w:themeColor="text1"/>
          <w:sz w:val="40"/>
          <w:szCs w:val="40"/>
          <w:shd w:val="clear" w:color="auto" w:fill="FFFFFF"/>
          <w14:textFill>
            <w14:solidFill>
              <w14:schemeClr w14:val="tx1"/>
            </w14:solidFill>
          </w14:textFill>
        </w:rPr>
        <w:t>20</w:t>
      </w:r>
      <w:r>
        <w:rPr>
          <w:rFonts w:hint="eastAsia" w:ascii="方正小标宋简体" w:eastAsia="方正小标宋简体"/>
          <w:bCs/>
          <w:color w:val="000000" w:themeColor="text1"/>
          <w:sz w:val="40"/>
          <w:szCs w:val="40"/>
          <w:shd w:val="clear" w:color="auto" w:fill="FFFFFF"/>
          <w:lang w:val="en-US" w:eastAsia="zh-CN"/>
          <w14:textFill>
            <w14:solidFill>
              <w14:schemeClr w14:val="tx1"/>
            </w14:solidFill>
          </w14:textFill>
        </w:rPr>
        <w:t>20</w:t>
      </w:r>
      <w:r>
        <w:rPr>
          <w:rFonts w:hint="eastAsia" w:ascii="方正小标宋简体" w:eastAsia="方正小标宋简体"/>
          <w:bCs/>
          <w:color w:val="000000" w:themeColor="text1"/>
          <w:sz w:val="40"/>
          <w:szCs w:val="40"/>
          <w:shd w:val="clear" w:color="auto" w:fill="FFFFFF"/>
          <w14:textFill>
            <w14:solidFill>
              <w14:schemeClr w14:val="tx1"/>
            </w14:solidFill>
          </w14:textFill>
        </w:rPr>
        <w:t xml:space="preserve">年政府信息公开工作年度报告 </w:t>
      </w: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根据舟山市定海区人民政府办公室《2020年定海区政务公开工作要点》要求，紧紧围绕区委、区政府决策部署，坚持以公开为常态、不公开为例外，全面深入推进政务公开，以公开促落实、强规范、补短板、优服务，不断提升政府工作透明度和政府公信力、深化“放管服”改革、优化营商环境、加快法治政府和服务型政府建设提供重要支撑。我局强化组织领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不断创新政府信息公开载体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完善政府信息公开制度流程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不断深化政府信息公开内容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全面提升政府信息公开工作水平。现将2020年政务公开工作情况汇报如下：</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主动公开政府信息情况</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以政务平台为基础，加强主动公开。</w:t>
      </w:r>
      <w:r>
        <w:rPr>
          <w:rFonts w:hint="eastAsia" w:ascii="仿宋_GB2312" w:hAnsi="仿宋_GB2312" w:eastAsia="仿宋_GB2312" w:cs="仿宋_GB2312"/>
          <w:sz w:val="32"/>
          <w:szCs w:val="32"/>
        </w:rPr>
        <w:t>舟山市定海区政府门户网政府信息公开平台作为我局信息公开的重要途径，按照政务公开工作要求，我局重点公开机构概况、班子成员职责分工、人事信息、通知公告、政策文件、发展规划、计划总结、部门预决算、工程项目设计招投标等信息。截至12月底，我局主动公开政府信息数</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357条。其中，政务类信息41条，占总体比例的11.48%；业务类信息119条，占总体比例的33.33%；便民服务类54条，占总体比例的15.13%；提案议案类7条，占总体比例的1.96%；重点建设项目类136条，占总体比例的38.09%。</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主动公开重大行政决策事项目录。</w:t>
      </w:r>
      <w:r>
        <w:rPr>
          <w:rFonts w:hint="eastAsia" w:ascii="仿宋_GB2312" w:hAnsi="仿宋_GB2312" w:eastAsia="仿宋_GB2312" w:cs="仿宋_GB2312"/>
          <w:sz w:val="32"/>
          <w:szCs w:val="32"/>
        </w:rPr>
        <w:t>我局认真贯彻《重大行政决策程序暂行条例》和《浙江省重大行政决策程序规定》，按照《舟山市定海区人民政府重大行政决策程序规定》以及区政府要求，结合工作实际，于3月17日在区政府信息公开平台上公布《定海区交通运输局2020年度重大行政决策事项目录》。对目录所列决策事项，我局领导第一时间解读，释放权威政策信号。</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重点公开年度重大项目建设情况。</w:t>
      </w:r>
      <w:r>
        <w:rPr>
          <w:rFonts w:hint="eastAsia" w:ascii="仿宋_GB2312" w:hAnsi="仿宋_GB2312" w:eastAsia="仿宋_GB2312" w:cs="仿宋_GB2312"/>
          <w:sz w:val="32"/>
          <w:szCs w:val="32"/>
        </w:rPr>
        <w:t>在重大建设项目批准和实施过程中，我局重点公开定海陆岛客运码头建设工程（册子交通码头工程、岑港钓山交通码头工程和大猫合兴交通码头工程）、嵊泗至定海公路马岙至定海段改建工程、嵊泗至定海公路马岙至定海疏港公路项目、S321省道定海至盐仓段项目6个项目工程的批准服务信息、批准结果信息、招标投标信息、重大设计变更信息、施工有关信息、质量安全监督信息、竣工有关信息等7类信息。</w:t>
      </w:r>
    </w:p>
    <w:p>
      <w:pPr>
        <w:numPr>
          <w:ilvl w:val="0"/>
          <w:numId w:val="3"/>
        </w:numPr>
        <w:ind w:firstLine="643" w:firstLineChars="20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32"/>
          <w:szCs w:val="32"/>
          <w14:textFill>
            <w14:solidFill>
              <w14:schemeClr w14:val="tx1">
                <w14:lumMod w14:val="95000"/>
                <w14:lumOff w14:val="5000"/>
              </w14:schemeClr>
            </w14:solidFill>
          </w14:textFill>
        </w:rPr>
        <w:t>线上＋线下融合发展，打造“最多跑一次”。</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以“最多跑一次”改革和主线，动态调整、及时公开我局权责清单和全流程“最多跑一次”事项清单，调整更新重点推进个人和企业全生命周期“一件事”</w:t>
      </w:r>
      <w:bookmarkStart w:id="0" w:name="_GoBack"/>
      <w:bookmarkEnd w:id="0"/>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和行政许可事项目录。</w:t>
      </w:r>
    </w:p>
    <w:p>
      <w:pPr>
        <w:ind w:firstLine="640" w:firstLineChars="200"/>
        <w:rPr>
          <w:rFonts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截至11月底，共计申办行政许可事项</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3878</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 xml:space="preserve">件，办结 </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3878</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件 ，办结率100%；申办其它权利事项</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7824</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件，办结</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7824</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件，按期办结率100%。深化“最多跑一次”和”放管服”改革，推动”网上办”、“掌上办”从“可办”到“好办、愿办、实际办”转变。全面推广“掌上办、网上办”和人机联办，政务服务事项线上受理率达90%，道路运输从业资格认定事项全部实现掌上办，办申报率均达到100%。疫情防控期间还做到部分业务“延期办”、特殊业务“预约办”。另外，行政审批线上线下总办件量6</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536</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件办完成电子归档5</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522</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件</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截至目前，交通运输窗口已经连续</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10</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个月被评为全区红旗窗口。</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全面推行行政执法公示制度。</w:t>
      </w:r>
      <w:r>
        <w:rPr>
          <w:rFonts w:hint="eastAsia" w:ascii="仿宋_GB2312" w:hAnsi="仿宋_GB2312" w:eastAsia="仿宋_GB2312" w:cs="仿宋_GB2312"/>
          <w:sz w:val="32"/>
          <w:szCs w:val="32"/>
        </w:rPr>
        <w:t>强化事前公开。全面准确及时主动公开行政执法主体、执法人员及执法辅助人员、执法依据、执法程序、救济渠道、随机抽查事项清单等信息。局系统各执法单位信息包括单位职能、内设机构、领导班子等于政府信息公开门户网站予以公示；各执法单位行政执法主体、执法工作人员、主要职责、法律依据、行政处罚流程等具体政务信息也均按照标准格式在基层站所、办公大厅醒目位置“上墙”公开。依法动态调整权力清单、责任清单、监管清单等，构建事项管理的长效机制；严格执行统一规范、动态调整的标准化办事事项和办事指南体系，持续推进办事事项的动态调整和办事指南维护工作，并做好同步发布工作；依法动态调整处罚裁量基准，增强基准的标准性和科学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规范事中公示。在交通服务窗口，为方便群众咨询办事，公开窗口办事服务指南、咨询服务信息、投诉监督方式等信息。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事后公开。及时推送行政许可、行政处罚、信用考核结果于浙江省政务服务网，供大众查询；建立健全执法决定信息公开发布、撤消和更新机制，确保执法信息准确有效；建立行政执法统计年报制度，从而保证执法公示责任落实到位，做到行政执法在阳光下进行。</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加强疫情防控等突发事件和重大活动期间的信息公开。</w:t>
      </w:r>
      <w:r>
        <w:rPr>
          <w:rFonts w:hint="eastAsia" w:ascii="仿宋_GB2312" w:hAnsi="仿宋_GB2312" w:eastAsia="仿宋_GB2312" w:cs="仿宋_GB2312"/>
          <w:sz w:val="32"/>
          <w:szCs w:val="32"/>
        </w:rPr>
        <w:t>做好春运、“清明”、“五一”、国庆黄金周等重要节假日期间的信息公开。特别是疫情防控和突发事件的信息的及时、全面、精准公开。要积极通过各种媒体，及时通报路况、车站码头、班线等出行信息，引导公众理性有序出行。</w:t>
      </w:r>
    </w:p>
    <w:p>
      <w:pPr>
        <w:numPr>
          <w:ilvl w:val="0"/>
          <w:numId w:val="3"/>
        </w:num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积极抓实管好政务新媒体。</w:t>
      </w:r>
      <w:r>
        <w:rPr>
          <w:rFonts w:hint="eastAsia" w:ascii="仿宋_GB2312" w:hAnsi="仿宋_GB2312" w:eastAsia="仿宋_GB2312" w:cs="仿宋_GB2312"/>
          <w:sz w:val="32"/>
          <w:szCs w:val="32"/>
        </w:rPr>
        <w:t>通过报纸、微信等媒体平台向社会各界宣传我局工作动态信息，拓宽信息宣传渠道。截至12月底，今年共推送微信信息共计26条。报刊杂志等媒体录用290余篇。</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开展政策解读、回应关切情况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执行《浙江省行政机关政策解读工作实施办法》，健全完善政策解读工作机制。今年，我局共接到区人大、政协主办议案建议、提案总计14件，其中主办件7件，协办件7件，内容主要涉及交通基础设施的完善和公交线路的优化调整等方面。网络问政今年共收到群众咨询、提问9件，均已完成答复。本年度总计受理298件信访件其中14件为来访件，并予以答复，按时办结率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同时，我单位主要负责人通过《阳光热线》栏目对群众关心的我区民生交通类问题进行了详细解答。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走访辖区交通运输类企业，扎实做好企业服务工作。通过了解企业经营状况及经营中所遇问题和困难，群策群力。协助企业协调解决，并做好企业跟踪服务工作。今年共走访64次，收集并解决企业生产经营相关问题19个，其中疫情期间企业复工复产相关问题8个。</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监督保障情况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谁起草、谁解读”原则，规范信息发布程序，做好保密审查。拟制公文时，明确主动公开、依申请公开、不予公开等属性，随公文一并报批。拟不予公开的，应依法依规说明理由。坚持“先审查、后公开”、“一事一审”、“上网不涉密，涉密不上网”等原则，做好政府信息公开保密审查工作，确保不发生失、泄密问题。建立政府信息公开保密审查台账，管理中有据可查、有章可循。做到该公开的全部公开，该保密的坚决保密，确保我局政府信息公开工作的顺利开展。</w:t>
      </w: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主动公开政府信息情况</w:t>
      </w:r>
    </w:p>
    <w:tbl>
      <w:tblPr>
        <w:tblStyle w:val="3"/>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134</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3878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6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471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72</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480" w:lineRule="exact"/>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36</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480" w:lineRule="exact"/>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360688</w:t>
            </w:r>
          </w:p>
        </w:tc>
      </w:tr>
    </w:tbl>
    <w:p>
      <w:pPr>
        <w:widowControl/>
        <w:shd w:val="clear" w:color="auto" w:fill="FFFFFF"/>
        <w:spacing w:line="480" w:lineRule="exact"/>
        <w:ind w:firstLine="480"/>
        <w:rPr>
          <w:rFonts w:hint="eastAsia" w:ascii="宋体" w:hAnsi="宋体" w:cs="宋体"/>
          <w:color w:val="333333"/>
          <w:kern w:val="0"/>
          <w:sz w:val="24"/>
        </w:rPr>
      </w:pP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收到和处理政府信息公开申请情况</w:t>
      </w:r>
    </w:p>
    <w:tbl>
      <w:tblPr>
        <w:tblStyle w:val="3"/>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00" w:lineRule="exact"/>
              <w:jc w:val="center"/>
              <w:rPr>
                <w:rFonts w:ascii="宋体" w:hAnsi="宋体" w:cs="宋体"/>
                <w:kern w:val="0"/>
                <w:sz w:val="24"/>
              </w:rPr>
            </w:pPr>
            <w:r>
              <w:rPr>
                <w:rFonts w:hint="eastAsia" w:ascii="宋体" w:hAnsi="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三、本年度办理结果</w:t>
            </w:r>
          </w:p>
        </w:tc>
        <w:tc>
          <w:tcPr>
            <w:tcW w:w="29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9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80" w:lineRule="exact"/>
              <w:jc w:val="left"/>
              <w:rPr>
                <w:rFonts w:ascii="宋体" w:hAnsi="宋体" w:cs="宋体"/>
                <w:kern w:val="0"/>
                <w:sz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spacing w:val="-8"/>
                <w:kern w:val="0"/>
                <w:sz w:val="24"/>
              </w:rPr>
            </w:pPr>
            <w:r>
              <w:rPr>
                <w:rFonts w:hint="eastAsia" w:ascii="楷体" w:hAnsi="楷体" w:eastAsia="楷体" w:cs="宋体"/>
                <w:spacing w:val="-8"/>
                <w:kern w:val="0"/>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hint="eastAsia" w:ascii="宋体" w:hAnsi="宋体" w:eastAsia="楷体" w:cs="宋体"/>
                <w:kern w:val="0"/>
                <w:sz w:val="24"/>
                <w:lang w:val="en-US" w:eastAsia="zh-CN"/>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4"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4" w:space="0"/>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855" w:type="dxa"/>
            <w:vMerge w:val="restart"/>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（五）不予处理</w:t>
            </w:r>
          </w:p>
        </w:tc>
        <w:tc>
          <w:tcPr>
            <w:tcW w:w="213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1.信访举报投诉类申请</w:t>
            </w:r>
          </w:p>
        </w:tc>
        <w:tc>
          <w:tcPr>
            <w:tcW w:w="82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4"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4"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4"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4"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9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29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left"/>
              <w:rPr>
                <w:rFonts w:ascii="宋体" w:hAnsi="宋体" w:cs="宋体"/>
                <w:kern w:val="0"/>
                <w:sz w:val="24"/>
              </w:rPr>
            </w:pPr>
            <w:r>
              <w:rPr>
                <w:rFonts w:hint="eastAsia" w:ascii="宋体" w:hAnsi="宋体" w:cs="宋体"/>
                <w:kern w:val="0"/>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cs="宋体"/>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r>
    </w:tbl>
    <w:p>
      <w:pPr>
        <w:widowControl/>
        <w:shd w:val="clear" w:color="auto" w:fill="FFFFFF"/>
        <w:spacing w:line="480" w:lineRule="exact"/>
        <w:ind w:firstLine="480"/>
        <w:rPr>
          <w:rFonts w:hint="eastAsia" w:ascii="宋体" w:hAnsi="宋体" w:cs="宋体"/>
          <w:b/>
          <w:bCs/>
          <w:color w:val="000000" w:themeColor="text1"/>
          <w:kern w:val="0"/>
          <w:sz w:val="28"/>
          <w:szCs w:val="28"/>
          <w14:textFill>
            <w14:solidFill>
              <w14:schemeClr w14:val="tx1"/>
            </w14:solidFill>
          </w14:textFill>
        </w:rPr>
      </w:pPr>
    </w:p>
    <w:p>
      <w:pPr>
        <w:widowControl/>
        <w:shd w:val="clear" w:color="auto" w:fill="FFFFFF"/>
        <w:spacing w:line="480" w:lineRule="exact"/>
        <w:ind w:firstLine="480"/>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四、政府信息公开行政复议、行政诉讼情况</w:t>
      </w:r>
    </w:p>
    <w:p>
      <w:pPr>
        <w:widowControl/>
        <w:shd w:val="clear" w:color="auto" w:fill="FFFFFF"/>
        <w:spacing w:line="480" w:lineRule="exact"/>
        <w:ind w:firstLine="480"/>
        <w:rPr>
          <w:rFonts w:hint="eastAsia" w:ascii="宋体" w:hAnsi="宋体" w:cs="宋体"/>
          <w:color w:val="333333"/>
          <w:kern w:val="0"/>
          <w:sz w:val="24"/>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480" w:lineRule="exact"/>
              <w:jc w:val="left"/>
              <w:rPr>
                <w:rFonts w:ascii="宋体" w:hAnsi="宋体" w:cs="宋体"/>
                <w:kern w:val="0"/>
                <w:sz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ascii="宋体" w:hAnsi="宋体" w:cs="宋体"/>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rPr>
            </w:pP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r>
    </w:tbl>
    <w:p>
      <w:pPr>
        <w:widowControl/>
        <w:shd w:val="clear" w:color="auto" w:fill="FFFFFF"/>
        <w:spacing w:line="480" w:lineRule="exact"/>
        <w:ind w:firstLine="480"/>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五、存在的主要问题及改进情况</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政府信息公开工作稳步推进，有序开展，取得一定成效，但对照上级要求，我局政府信息公开工作仍存在的一些困难和问题,主要表现在:一是公开意识需要进一步强化。部分局属单位和部门科室人员对新《中华人民共和国政府信息公开条例》中的新要求深度理解有待进一步加强，对新《中华人民共和国政府信息公开条例》要求有待进一步提高。二是宣传途径形式有待进一步多样化，微信公众号平台信息更新有待进一步加强，从内容发布和公众关注度需要进一步完善，需要进一步加强运行维护和推广。</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今后工作中继续按照区政务信息公开要求，加大公开力度，进一步加强对公众关注度高的政府信息的梳理，推行政务公开与依法治理相结合逐步扩大公开信息的覆盖面，确保公开信息的完整性和准确性。加强政府信息公开业务学习和培训，提升官方微信运营水平，实现透明务实、高效便民的政务服务。</w:t>
      </w:r>
    </w:p>
    <w:p>
      <w:pPr>
        <w:widowControl/>
        <w:shd w:val="clear" w:color="auto" w:fill="FFFFFF"/>
        <w:spacing w:line="480" w:lineRule="exact"/>
        <w:ind w:firstLine="480"/>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六、其他需要报告的事项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w:t>
      </w: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14:textFill>
            <w14:solidFill>
              <w14:schemeClr w14:val="tx1"/>
            </w14:solidFill>
          </w14:textFill>
        </w:rPr>
        <w:t>其他需要报告的事项。</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jc w:val="right"/>
        <w:rPr>
          <w:rFonts w:hint="eastAsia"/>
          <w:color w:val="000000" w:themeColor="text1"/>
          <w:lang w:val="en-US" w:eastAsia="zh-CN"/>
          <w14:textFill>
            <w14:solidFill>
              <w14:schemeClr w14:val="tx1"/>
            </w14:solidFill>
          </w14:textFill>
        </w:rPr>
      </w:pPr>
    </w:p>
    <w:p>
      <w:pPr>
        <w:ind w:firstLine="640" w:firstLineChars="200"/>
        <w:jc w:val="righ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定海区交通运输局</w:t>
      </w:r>
    </w:p>
    <w:p>
      <w:pPr>
        <w:ind w:firstLine="640" w:firstLineChars="200"/>
        <w:jc w:val="righ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D708E"/>
    <w:multiLevelType w:val="singleLevel"/>
    <w:tmpl w:val="F4AD708E"/>
    <w:lvl w:ilvl="0" w:tentative="0">
      <w:start w:val="1"/>
      <w:numFmt w:val="chineseCounting"/>
      <w:suff w:val="nothing"/>
      <w:lvlText w:val="%1、"/>
      <w:lvlJc w:val="left"/>
      <w:pPr>
        <w:ind w:left="0" w:firstLine="420"/>
      </w:pPr>
      <w:rPr>
        <w:rFonts w:hint="eastAsia"/>
      </w:rPr>
    </w:lvl>
  </w:abstractNum>
  <w:abstractNum w:abstractNumId="1">
    <w:nsid w:val="F6920A46"/>
    <w:multiLevelType w:val="singleLevel"/>
    <w:tmpl w:val="F6920A46"/>
    <w:lvl w:ilvl="0" w:tentative="0">
      <w:start w:val="1"/>
      <w:numFmt w:val="decimal"/>
      <w:lvlText w:val="%1)"/>
      <w:lvlJc w:val="left"/>
      <w:pPr>
        <w:ind w:left="425" w:hanging="425"/>
      </w:pPr>
      <w:rPr>
        <w:rFonts w:hint="default"/>
      </w:rPr>
    </w:lvl>
  </w:abstractNum>
  <w:abstractNum w:abstractNumId="2">
    <w:nsid w:val="0F0B74E5"/>
    <w:multiLevelType w:val="singleLevel"/>
    <w:tmpl w:val="0F0B74E5"/>
    <w:lvl w:ilvl="0" w:tentative="0">
      <w:start w:val="1"/>
      <w:numFmt w:val="chineseCounting"/>
      <w:suff w:val="nothing"/>
      <w:lvlText w:val="（%1）"/>
      <w:lvlJc w:val="left"/>
      <w:pPr>
        <w:ind w:left="0" w:firstLine="4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F6A4E"/>
    <w:rsid w:val="07B106BF"/>
    <w:rsid w:val="170C35D1"/>
    <w:rsid w:val="1E07349F"/>
    <w:rsid w:val="278305C0"/>
    <w:rsid w:val="3D0C682B"/>
    <w:rsid w:val="51AF6A4E"/>
    <w:rsid w:val="52010D56"/>
    <w:rsid w:val="52FC2EC2"/>
    <w:rsid w:val="5A790497"/>
    <w:rsid w:val="61A04E11"/>
    <w:rsid w:val="638D15D8"/>
    <w:rsid w:val="652114D8"/>
    <w:rsid w:val="69C20B20"/>
    <w:rsid w:val="6D7A5BA7"/>
    <w:rsid w:val="7A29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2021-01-07T06:21:00Z</dcterms:created>
  <dc:creator>Tiffany1392084871</dc:creator>
  <cp:lastModifiedBy>Tiffany1392084871</cp:lastModifiedBy>
  <dcterms:modified xsi:type="dcterms:W3CDTF">2021-01-12T01:48:44Z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