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shd w:val="clear" w:color="auto" w:fill="FFFFFF"/>
        <w:spacing w:before="0" w:beforeAutospacing="0" w:after="0" w:afterAutospacing="0" w:line="560" w:lineRule="exact"/>
        <w:jc w:val="distribute"/>
        <w:rPr>
          <w:rFonts w:ascii="方正小标宋简体" w:eastAsia="方正小标宋简体"/>
          <w:bCs/>
          <w:spacing w:val="-20"/>
          <w:sz w:val="44"/>
          <w:szCs w:val="44"/>
          <w:shd w:val="clear" w:color="auto" w:fill="FFFFFF"/>
        </w:rPr>
      </w:pPr>
      <w:r>
        <w:rPr>
          <w:rFonts w:ascii="方正小标宋简体" w:eastAsia="方正小标宋简体"/>
          <w:bCs/>
          <w:spacing w:val="-20"/>
          <w:sz w:val="44"/>
          <w:szCs w:val="44"/>
          <w:shd w:val="clear" w:color="auto" w:fill="FFFFFF"/>
        </w:rPr>
        <w:t>2020</w:t>
      </w:r>
      <w:r>
        <w:rPr>
          <w:rFonts w:hint="eastAsia" w:ascii="方正小标宋简体" w:eastAsia="方正小标宋简体"/>
          <w:bCs/>
          <w:spacing w:val="-20"/>
          <w:sz w:val="44"/>
          <w:szCs w:val="44"/>
          <w:shd w:val="clear" w:color="auto" w:fill="FFFFFF"/>
        </w:rPr>
        <w:t>年区经信局政府信息公开工作年度报告</w:t>
      </w:r>
    </w:p>
    <w:p>
      <w:pPr>
        <w:widowControl/>
        <w:shd w:val="clear" w:color="auto" w:fill="FFFFFF"/>
        <w:spacing w:line="560" w:lineRule="exact"/>
        <w:ind w:firstLine="562" w:firstLineChars="200"/>
        <w:rPr>
          <w:rFonts w:ascii="宋体" w:cs="宋体"/>
          <w:b/>
          <w:bCs/>
          <w:kern w:val="0"/>
          <w:sz w:val="28"/>
          <w:szCs w:val="28"/>
        </w:rPr>
      </w:pPr>
    </w:p>
    <w:p>
      <w:pPr>
        <w:widowControl/>
        <w:shd w:val="clear" w:color="auto" w:fill="FFFFFF"/>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一、总体情况</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定海区经济和信息化局政务公开工作以习近平新时代中国特色社会主义思想为指导，全面贯彻党的十九届四中、五中全会精神，认真贯彻落实《中华人民共和国政府信息公开条例》（中华人民共和国国务院令第</w:t>
      </w:r>
      <w:r>
        <w:rPr>
          <w:rFonts w:ascii="仿宋_GB2312" w:hAnsi="仿宋_GB2312" w:eastAsia="仿宋_GB2312" w:cs="仿宋_GB2312"/>
          <w:sz w:val="32"/>
          <w:szCs w:val="32"/>
        </w:rPr>
        <w:t>711</w:t>
      </w:r>
      <w:r>
        <w:rPr>
          <w:rFonts w:hint="eastAsia" w:ascii="仿宋_GB2312" w:hAnsi="仿宋_GB2312" w:eastAsia="仿宋_GB2312" w:cs="仿宋_GB2312"/>
          <w:sz w:val="32"/>
          <w:szCs w:val="32"/>
        </w:rPr>
        <w:t>号）和《舟山市定海区人民政府办公室关于印发</w:t>
      </w:r>
      <w:r>
        <w:rPr>
          <w:rFonts w:ascii="仿宋_GB2312" w:hAnsi="仿宋_GB2312" w:eastAsia="仿宋_GB2312" w:cs="仿宋_GB2312"/>
          <w:sz w:val="32"/>
          <w:szCs w:val="32"/>
        </w:rPr>
        <w:t xml:space="preserve"> 2020 </w:t>
      </w:r>
      <w:r>
        <w:rPr>
          <w:rFonts w:hint="eastAsia" w:ascii="仿宋_GB2312" w:hAnsi="仿宋_GB2312" w:eastAsia="仿宋_GB2312" w:cs="仿宋_GB2312"/>
          <w:sz w:val="32"/>
          <w:szCs w:val="32"/>
        </w:rPr>
        <w:t>年定海区政务公开工作要点的通知》等文件要求，紧紧围绕区委、区政府中心工作和经信、科技重点工作以及企业关注关切问题，不断加大和改进政府信息公开工作力度，增强行政工作透明度，推进政务管理的制度化、规范化、科学化和民主化。</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（一）加强领导，工作到位。</w:t>
      </w:r>
      <w:r>
        <w:rPr>
          <w:rFonts w:hint="eastAsia" w:ascii="仿宋_GB2312" w:hAnsi="仿宋_GB2312" w:eastAsia="仿宋_GB2312" w:cs="仿宋_GB2312"/>
          <w:sz w:val="32"/>
          <w:szCs w:val="32"/>
        </w:rPr>
        <w:t>为确保政务公开各项工作落到实处，我局及时调整政务公开工作领导小组成员及工作职责，单位“一把手”为第一责任人，办公室分管领导为直接责任人，领导小组下设办公室，负责协调跟踪督办局机关政务公开的日常工作。同时把政府信息公开工作列入重要议事日程，明确</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位同志为局信息员，具体负责政府信息公开内容维护、组织协调等日常工作，每个业务科室明确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位信息员，负责</w:t>
      </w:r>
      <w:r>
        <w:fldChar w:fldCharType="begin"/>
      </w:r>
      <w:r>
        <w:instrText xml:space="preserve"> HYPERLINK "https://www.xuexila.com/shenghuo/shoujiqingli/" \t "http://c.360webcache.com/_blank" </w:instrText>
      </w:r>
      <w:r>
        <w:fldChar w:fldCharType="separate"/>
      </w:r>
      <w:r>
        <w:rPr>
          <w:rFonts w:hint="eastAsia" w:ascii="仿宋_GB2312" w:hAnsi="仿宋_GB2312" w:eastAsia="仿宋_GB2312" w:cs="仿宋_GB2312"/>
          <w:sz w:val="32"/>
          <w:szCs w:val="32"/>
        </w:rPr>
        <w:t>收集</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、整理政府信息，由局信息员统一发布，确保信息公开全面、及时、准确、无差错。</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（二）建设平台，健全机制。</w:t>
      </w:r>
      <w:r>
        <w:rPr>
          <w:rFonts w:hint="eastAsia" w:ascii="仿宋_GB2312" w:hAnsi="仿宋_GB2312" w:eastAsia="仿宋_GB2312" w:cs="仿宋_GB2312"/>
          <w:sz w:val="32"/>
          <w:szCs w:val="32"/>
        </w:rPr>
        <w:t>明确局机关政务信息公开的责任，使政务公开工作真正做到有章可循。同时进一步完善政务平台建设，在坚持政务公开栏基础上，按照便利、实用、有效的原则，认真创新政务公开的新载体、新形式，使政务公开的形式呈现灵活多样。</w:t>
      </w:r>
      <w:r>
        <w:rPr>
          <w:rFonts w:hint="eastAsia" w:ascii="仿宋_GB2312" w:hAnsi="仿宋_GB2312" w:eastAsia="仿宋_GB2312" w:cs="仿宋_GB2312"/>
          <w:b/>
          <w:bCs/>
          <w:sz w:val="32"/>
          <w:szCs w:val="32"/>
        </w:rPr>
        <w:t>一是建设网络阵地。</w:t>
      </w:r>
      <w:r>
        <w:rPr>
          <w:rFonts w:hint="eastAsia" w:ascii="仿宋_GB2312" w:hAnsi="仿宋_GB2312" w:eastAsia="仿宋_GB2312" w:cs="仿宋_GB2312"/>
          <w:sz w:val="32"/>
          <w:szCs w:val="32"/>
        </w:rPr>
        <w:t>把网站列为公开信息的重要途径，建设</w:t>
      </w:r>
      <w:r>
        <w:rPr>
          <w:rFonts w:hint="eastAsia" w:ascii="仿宋_GB2312" w:hAnsi="仿宋" w:eastAsia="仿宋_GB2312" w:cs="Arial"/>
          <w:sz w:val="32"/>
          <w:szCs w:val="32"/>
        </w:rPr>
        <w:t>“</w:t>
      </w:r>
      <w:r>
        <w:rPr>
          <w:rFonts w:ascii="仿宋_GB2312" w:hAnsi="仿宋" w:eastAsia="仿宋_GB2312" w:cs="Arial"/>
          <w:sz w:val="32"/>
          <w:szCs w:val="32"/>
        </w:rPr>
        <w:t>1+7+X</w:t>
      </w:r>
      <w:r>
        <w:rPr>
          <w:rFonts w:hint="eastAsia" w:ascii="仿宋_GB2312" w:hAnsi="仿宋" w:eastAsia="仿宋_GB2312" w:cs="Arial"/>
          <w:sz w:val="32"/>
          <w:szCs w:val="32"/>
        </w:rPr>
        <w:t>”定海中小企业公共服务平台</w:t>
      </w:r>
      <w:r>
        <w:rPr>
          <w:rFonts w:hint="eastAsia" w:ascii="仿宋_GB2312" w:hAnsi="仿宋_GB2312" w:eastAsia="仿宋_GB2312" w:cs="仿宋_GB2312"/>
          <w:sz w:val="32"/>
          <w:szCs w:val="32"/>
        </w:rPr>
        <w:t>，</w:t>
      </w:r>
      <w:r>
        <w:rPr>
          <w:rFonts w:hint="eastAsia" w:ascii="仿宋_GB2312" w:hAnsi="仿宋" w:eastAsia="仿宋_GB2312" w:cs="Arial"/>
          <w:sz w:val="32"/>
          <w:szCs w:val="32"/>
        </w:rPr>
        <w:t>汇集国家、省、市、区级层面现行有效的综合性政策、行业政策文件和权威解读，为企业提供“找得到、看得懂、用得上”的政策服务。同时，</w:t>
      </w:r>
      <w:r>
        <w:rPr>
          <w:rFonts w:hint="eastAsia" w:ascii="仿宋_GB2312" w:hAnsi="仿宋_GB2312" w:eastAsia="仿宋_GB2312" w:cs="仿宋_GB2312"/>
          <w:sz w:val="32"/>
          <w:szCs w:val="32"/>
        </w:rPr>
        <w:t>在定海门户网站区经信局子栏中开设工作动态、通知公告、政务公开、互动交流等版块，将公开信息逐一上网发布，并设立局长信箱专门接受群众投诉举报。</w:t>
      </w:r>
      <w:r>
        <w:rPr>
          <w:rFonts w:hint="eastAsia" w:ascii="仿宋_GB2312" w:hAnsi="仿宋_GB2312" w:eastAsia="仿宋_GB2312" w:cs="仿宋_GB2312"/>
          <w:b/>
          <w:bCs/>
          <w:sz w:val="32"/>
          <w:szCs w:val="32"/>
        </w:rPr>
        <w:t>二是开展线下宣传。</w:t>
      </w:r>
      <w:r>
        <w:rPr>
          <w:rFonts w:hint="eastAsia" w:ascii="仿宋_GB2312" w:hAnsi="仿宋_GB2312" w:eastAsia="仿宋_GB2312" w:cs="仿宋_GB2312"/>
          <w:sz w:val="32"/>
          <w:szCs w:val="32"/>
        </w:rPr>
        <w:t>从经信科技实际工作出发，编制《定海简介》和《定海经信科技概况》，向社会公开，展示定海风貌及经信科技年度工作。此外利用“</w:t>
      </w:r>
      <w:r>
        <w:rPr>
          <w:rFonts w:ascii="仿宋_GB2312" w:hAnsi="仿宋_GB2312" w:eastAsia="仿宋_GB2312" w:cs="仿宋_GB2312"/>
          <w:sz w:val="32"/>
          <w:szCs w:val="32"/>
        </w:rPr>
        <w:t>871</w:t>
      </w:r>
      <w:r>
        <w:rPr>
          <w:rFonts w:hint="eastAsia" w:ascii="仿宋_GB2312" w:hAnsi="仿宋_GB2312" w:eastAsia="仿宋_GB2312" w:cs="仿宋_GB2312"/>
          <w:sz w:val="32"/>
          <w:szCs w:val="32"/>
        </w:rPr>
        <w:t>”党建联盟、科技活动周、科普节、“三服务”、企业座谈会等活动，学习宣传《浙江省民营经济促进条例》等最新政策法规，及时回应涉及经信科技的相关问题。</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（三）正常发布，主动公开。</w:t>
      </w:r>
      <w:r>
        <w:rPr>
          <w:rFonts w:hint="eastAsia" w:ascii="仿宋_GB2312" w:hAnsi="仿宋_GB2312" w:eastAsia="仿宋_GB2312" w:cs="仿宋_GB2312"/>
          <w:sz w:val="32"/>
          <w:szCs w:val="32"/>
        </w:rPr>
        <w:t>局政务公开负责人员严格按“一周一检查、一月一补缺、一季一测评”原则进行政务公开工作，每天登录网页查看预警栏目并进行相应更新，每周检查一次更新内容及更新频率是否达到要求，每月查看未更新栏目及时查缺补漏，每季度根据测评结果进行自查和改进，以确保常态化发布。在具体信息公开上，业务公开信息主要由局机关各科室撰写、分管领导审核、办公室公开；政策解读主要来自对国家、省、市级经信、科技、科协部门的相关政策解读内容进行公布，本级政策则根据部门权责及工作要点细分给各科室进行解读；回应关切主要来源于本部门相关政策及工作开展情况，对企业群众关心关注的问题进行及时回应。</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（四）突出重点，全面推进。</w:t>
      </w:r>
      <w:r>
        <w:rPr>
          <w:rFonts w:hint="eastAsia" w:ascii="仿宋_GB2312" w:hAnsi="仿宋_GB2312" w:eastAsia="仿宋_GB2312" w:cs="仿宋_GB2312"/>
          <w:sz w:val="32"/>
          <w:szCs w:val="32"/>
        </w:rPr>
        <w:t>围绕局重点工作，主动公开涉及我区企业利益调整相关的政府信息，包括涉企的行政法规、规章和规范性文件；涉企的行政许可和其他涉企服务事项的依据、条件、材料、受理机构、联系电话、办理流程以及办理结果等；涉企的行政处罚、行政强制等相关内容。截至目前，局网站已对定海区</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年工业发展专项资金分配方案、定海区</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年创新券兑现经费、全区工业企业“亩均论英雄”评价结果等重要涉企资金分配使用及名单信息予以公示。</w:t>
      </w:r>
    </w:p>
    <w:p>
      <w:pPr>
        <w:spacing w:line="56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sz w:val="32"/>
          <w:szCs w:val="32"/>
        </w:rPr>
        <w:t>（五）强化监督，建言献策。</w:t>
      </w:r>
      <w:r>
        <w:rPr>
          <w:rFonts w:hint="eastAsia" w:ascii="仿宋_GB2312" w:hAnsi="仿宋_GB2312" w:eastAsia="仿宋_GB2312" w:cs="仿宋_GB2312"/>
          <w:sz w:val="32"/>
          <w:szCs w:val="32"/>
        </w:rPr>
        <w:t>采取多种形式，强化监督检查工作，实行定期检查与不定期检查相结合，将政务公开工作与党风廉政建设、行风建设等工作进行综合检查、考评，并将考评结果纳入岗位目标责任制。严把公开内容和项目关，既防止该公开的不公开、半公开、假公开，又防止不该公开的乱公开。鼓励广大干部、群众积极参与监督，积极反映公开过程中存在的突出问题，使公开工作更加扎实、有序开展。</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left="178" w:leftChars="85" w:firstLine="643" w:firstLineChars="200"/>
        <w:rPr>
          <w:rFonts w:ascii="楷体_GB2312" w:hAnsi="楷体" w:eastAsia="楷体_GB2312" w:cs="楷体"/>
          <w:b/>
          <w:bCs/>
          <w:sz w:val="32"/>
          <w:szCs w:val="32"/>
        </w:rPr>
      </w:pPr>
    </w:p>
    <w:p>
      <w:pPr>
        <w:widowControl/>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二、主动公开政府信息情况</w:t>
      </w:r>
    </w:p>
    <w:tbl>
      <w:tblPr>
        <w:tblStyle w:val="6"/>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本年新</w:t>
            </w:r>
            <w:r>
              <w:rPr>
                <w:rFonts w:ascii="宋体" w:cs="宋体"/>
                <w:kern w:val="0"/>
                <w:sz w:val="20"/>
                <w:szCs w:val="20"/>
              </w:rPr>
              <w:br w:type="textWrapping"/>
            </w:r>
            <w:r>
              <w:rPr>
                <w:rFonts w:hint="eastAsia"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本年新</w:t>
            </w:r>
            <w:r>
              <w:rPr>
                <w:rFonts w:ascii="宋体" w:cs="宋体"/>
                <w:kern w:val="0"/>
                <w:sz w:val="20"/>
                <w:szCs w:val="20"/>
              </w:rPr>
              <w:br w:type="textWrapping"/>
            </w:r>
            <w:r>
              <w:rPr>
                <w:rFonts w:hint="eastAsia" w:ascii="宋体" w:hAnsi="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abs>
                <w:tab w:val="center" w:pos="829"/>
              </w:tabs>
              <w:spacing w:line="560" w:lineRule="exact"/>
              <w:jc w:val="center"/>
              <w:rPr>
                <w:rFonts w:ascii="宋体" w:cs="宋体"/>
                <w:kern w:val="0"/>
                <w:sz w:val="24"/>
                <w:szCs w:val="24"/>
              </w:rPr>
            </w:pPr>
            <w:r>
              <w:rPr>
                <w:rFonts w:hint="eastAsia" w:ascii="宋体" w:hAnsi="宋体" w:cs="宋体"/>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0"/>
                <w:szCs w:val="20"/>
              </w:rPr>
              <w:t>2</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0"/>
                <w:szCs w:val="20"/>
              </w:rPr>
              <w:t>2</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0"/>
                <w:szCs w:val="20"/>
              </w:rPr>
              <w:t>2</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本年增</w:t>
            </w:r>
            <w:r>
              <w:rPr>
                <w:rFonts w:ascii="宋体" w:hAnsi="宋体" w:cs="宋体"/>
                <w:kern w:val="0"/>
                <w:sz w:val="20"/>
                <w:szCs w:val="20"/>
              </w:rPr>
              <w:t>/</w:t>
            </w:r>
            <w:r>
              <w:rPr>
                <w:rFonts w:hint="eastAsia" w:ascii="宋体" w:hAnsi="宋体" w:cs="宋体"/>
                <w:kern w:val="0"/>
                <w:sz w:val="20"/>
                <w:szCs w:val="20"/>
              </w:rPr>
              <w:t>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处理决定数量</w:t>
            </w:r>
          </w:p>
        </w:tc>
      </w:tr>
      <w:tr>
        <w:tblPrEx>
          <w:tblLayout w:type="fixed"/>
          <w:tblCellMar>
            <w:top w:w="0" w:type="dxa"/>
            <w:left w:w="0" w:type="dxa"/>
            <w:bottom w:w="0" w:type="dxa"/>
            <w:right w:w="0" w:type="dxa"/>
          </w:tblCellMar>
        </w:tblPrEx>
        <w:trPr>
          <w:trHeight w:val="54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tabs>
                <w:tab w:val="center" w:pos="832"/>
              </w:tabs>
              <w:spacing w:line="560" w:lineRule="exact"/>
              <w:jc w:val="center"/>
              <w:rPr>
                <w:rFonts w:ascii="宋体" w:cs="宋体"/>
                <w:kern w:val="0"/>
                <w:sz w:val="24"/>
                <w:szCs w:val="24"/>
              </w:rPr>
            </w:pPr>
            <w:r>
              <w:rPr>
                <w:rFonts w:hint="eastAsia" w:ascii="宋体" w:hAnsi="宋体" w:cs="宋体"/>
                <w:kern w:val="0"/>
                <w:sz w:val="20"/>
                <w:szCs w:val="20"/>
              </w:rPr>
              <w:t>3</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0"/>
                <w:szCs w:val="20"/>
              </w:rPr>
              <w:t>-1</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0"/>
                <w:szCs w:val="20"/>
              </w:rPr>
              <w:t>2</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21</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cs="宋体"/>
                <w:kern w:val="0"/>
                <w:sz w:val="20"/>
                <w:szCs w:val="20"/>
              </w:rPr>
            </w:pPr>
            <w:r>
              <w:rPr>
                <w:rFonts w:ascii="宋体" w:hAnsi="宋体" w:cs="宋体"/>
                <w:kern w:val="0"/>
                <w:sz w:val="20"/>
                <w:szCs w:val="20"/>
              </w:rPr>
              <w:t>-</w:t>
            </w:r>
            <w:r>
              <w:rPr>
                <w:rFonts w:hint="eastAsia" w:ascii="宋体" w:hAnsi="宋体" w:cs="宋体"/>
                <w:kern w:val="0"/>
                <w:sz w:val="20"/>
                <w:szCs w:val="20"/>
              </w:rPr>
              <w:t>14</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5</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本年增</w:t>
            </w:r>
            <w:r>
              <w:rPr>
                <w:rFonts w:ascii="宋体" w:hAnsi="宋体" w:cs="宋体"/>
                <w:kern w:val="0"/>
                <w:sz w:val="20"/>
                <w:szCs w:val="20"/>
              </w:rPr>
              <w:t>/</w:t>
            </w:r>
            <w:r>
              <w:rPr>
                <w:rFonts w:hint="eastAsia" w:ascii="宋体" w:hAnsi="宋体" w:cs="宋体"/>
                <w:kern w:val="0"/>
                <w:sz w:val="20"/>
                <w:szCs w:val="20"/>
              </w:rPr>
              <w:t>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处理决定数量</w:t>
            </w:r>
          </w:p>
        </w:tc>
      </w:tr>
      <w:tr>
        <w:tblPrEx>
          <w:tblLayout w:type="fixed"/>
          <w:tblCellMar>
            <w:top w:w="0" w:type="dxa"/>
            <w:left w:w="0" w:type="dxa"/>
            <w:bottom w:w="0" w:type="dxa"/>
            <w:right w:w="0" w:type="dxa"/>
          </w:tblCellMar>
        </w:tblPrEx>
        <w:trPr>
          <w:trHeight w:val="6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本年增</w:t>
            </w:r>
            <w:r>
              <w:rPr>
                <w:rFonts w:ascii="宋体" w:hAnsi="宋体" w:cs="宋体"/>
                <w:kern w:val="0"/>
                <w:sz w:val="20"/>
                <w:szCs w:val="20"/>
              </w:rPr>
              <w:t>/</w:t>
            </w:r>
            <w:r>
              <w:rPr>
                <w:rFonts w:hint="eastAsia" w:ascii="宋体" w:hAnsi="宋体" w:cs="宋体"/>
                <w:kern w:val="0"/>
                <w:sz w:val="20"/>
                <w:szCs w:val="20"/>
              </w:rPr>
              <w:t>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4"/>
                <w:szCs w:val="24"/>
              </w:rPr>
              <w:t>5</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4"/>
                <w:szCs w:val="24"/>
              </w:rPr>
              <w:t>109994</w:t>
            </w:r>
            <w:r>
              <w:rPr>
                <w:rFonts w:hint="eastAsia" w:ascii="宋体" w:hAnsi="宋体" w:cs="宋体"/>
                <w:kern w:val="0"/>
                <w:sz w:val="24"/>
                <w:szCs w:val="24"/>
              </w:rPr>
              <w:t>元</w:t>
            </w:r>
          </w:p>
        </w:tc>
      </w:tr>
    </w:tbl>
    <w:p>
      <w:pPr>
        <w:widowControl/>
        <w:shd w:val="clear" w:color="auto" w:fill="FFFFFF"/>
        <w:spacing w:line="560" w:lineRule="exact"/>
        <w:rPr>
          <w:rFonts w:ascii="宋体" w:cs="宋体"/>
          <w:kern w:val="0"/>
          <w:sz w:val="24"/>
          <w:szCs w:val="24"/>
        </w:rPr>
      </w:pPr>
    </w:p>
    <w:p>
      <w:pPr>
        <w:widowControl/>
        <w:shd w:val="clear" w:color="auto" w:fill="FFFFFF"/>
        <w:spacing w:line="560" w:lineRule="exact"/>
        <w:rPr>
          <w:rFonts w:ascii="宋体" w:cs="宋体"/>
          <w:kern w:val="0"/>
          <w:sz w:val="24"/>
          <w:szCs w:val="24"/>
        </w:rPr>
      </w:pPr>
    </w:p>
    <w:p>
      <w:pPr>
        <w:widowControl/>
        <w:shd w:val="clear" w:color="auto" w:fill="FFFFFF"/>
        <w:spacing w:line="560" w:lineRule="exact"/>
        <w:rPr>
          <w:rFonts w:ascii="宋体" w:cs="宋体"/>
          <w:kern w:val="0"/>
          <w:sz w:val="24"/>
          <w:szCs w:val="24"/>
        </w:rPr>
      </w:pPr>
    </w:p>
    <w:p>
      <w:pPr>
        <w:widowControl/>
        <w:shd w:val="clear" w:color="auto" w:fill="FFFFFF"/>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三、收到和处理政府信息公开申请情况</w:t>
      </w:r>
    </w:p>
    <w:tbl>
      <w:tblPr>
        <w:tblStyle w:val="6"/>
        <w:tblW w:w="8397" w:type="dxa"/>
        <w:jc w:val="center"/>
        <w:tblInd w:w="0" w:type="dxa"/>
        <w:tblLayout w:type="fixed"/>
        <w:tblCellMar>
          <w:top w:w="0" w:type="dxa"/>
          <w:left w:w="0" w:type="dxa"/>
          <w:bottom w:w="0" w:type="dxa"/>
          <w:right w:w="0" w:type="dxa"/>
        </w:tblCellMar>
      </w:tblPr>
      <w:tblGrid>
        <w:gridCol w:w="616"/>
        <w:gridCol w:w="848"/>
        <w:gridCol w:w="1915"/>
        <w:gridCol w:w="767"/>
        <w:gridCol w:w="716"/>
        <w:gridCol w:w="716"/>
        <w:gridCol w:w="767"/>
        <w:gridCol w:w="909"/>
        <w:gridCol w:w="677"/>
        <w:gridCol w:w="466"/>
      </w:tblGrid>
      <w:tr>
        <w:tblPrEx>
          <w:tblLayout w:type="fixed"/>
          <w:tblCellMar>
            <w:top w:w="0" w:type="dxa"/>
            <w:left w:w="0" w:type="dxa"/>
            <w:bottom w:w="0" w:type="dxa"/>
            <w:right w:w="0" w:type="dxa"/>
          </w:tblCellMar>
        </w:tblPrEx>
        <w:trPr>
          <w:jc w:val="center"/>
        </w:trPr>
        <w:tc>
          <w:tcPr>
            <w:tcW w:w="33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01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33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76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自然人</w:t>
            </w:r>
          </w:p>
        </w:tc>
        <w:tc>
          <w:tcPr>
            <w:tcW w:w="378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法人或其他组织</w:t>
            </w:r>
          </w:p>
        </w:tc>
        <w:tc>
          <w:tcPr>
            <w:tcW w:w="46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总计</w:t>
            </w:r>
          </w:p>
        </w:tc>
      </w:tr>
      <w:tr>
        <w:tblPrEx>
          <w:tblLayout w:type="fixed"/>
          <w:tblCellMar>
            <w:top w:w="0" w:type="dxa"/>
            <w:left w:w="0" w:type="dxa"/>
            <w:bottom w:w="0" w:type="dxa"/>
            <w:right w:w="0" w:type="dxa"/>
          </w:tblCellMar>
        </w:tblPrEx>
        <w:trPr>
          <w:jc w:val="center"/>
        </w:trPr>
        <w:tc>
          <w:tcPr>
            <w:tcW w:w="33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767"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商业企业</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科研机构</w:t>
            </w:r>
          </w:p>
        </w:tc>
        <w:tc>
          <w:tcPr>
            <w:tcW w:w="7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社会公益组织</w:t>
            </w:r>
          </w:p>
        </w:tc>
        <w:tc>
          <w:tcPr>
            <w:tcW w:w="9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法律服务机构</w:t>
            </w:r>
          </w:p>
        </w:tc>
        <w:tc>
          <w:tcPr>
            <w:tcW w:w="67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其他</w:t>
            </w:r>
          </w:p>
        </w:tc>
        <w:tc>
          <w:tcPr>
            <w:tcW w:w="466"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r>
      <w:tr>
        <w:tblPrEx>
          <w:tblLayout w:type="fixed"/>
          <w:tblCellMar>
            <w:top w:w="0" w:type="dxa"/>
            <w:left w:w="0" w:type="dxa"/>
            <w:bottom w:w="0" w:type="dxa"/>
            <w:right w:w="0" w:type="dxa"/>
          </w:tblCellMar>
        </w:tblPrEx>
        <w:trPr>
          <w:jc w:val="center"/>
        </w:trPr>
        <w:tc>
          <w:tcPr>
            <w:tcW w:w="33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一、本年新收政府信息公开申请数量</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1</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33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二、上年结转政府信息公开申请数量</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0</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三、本年度办理结果</w:t>
            </w:r>
          </w:p>
        </w:tc>
        <w:tc>
          <w:tcPr>
            <w:tcW w:w="27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（一）予以公开</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1</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27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（三）不予公开</w:t>
            </w: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属于国家秘密</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其他法律行政法规禁止公开</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危及“三安全一稳定”</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4.</w:t>
            </w:r>
            <w:r>
              <w:rPr>
                <w:rFonts w:hint="eastAsia" w:ascii="楷体" w:hAnsi="楷体" w:eastAsia="楷体" w:cs="宋体"/>
                <w:kern w:val="0"/>
                <w:sz w:val="20"/>
                <w:szCs w:val="20"/>
              </w:rPr>
              <w:t>保护第三方合法权益</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5.</w:t>
            </w:r>
            <w:r>
              <w:rPr>
                <w:rFonts w:hint="eastAsia" w:ascii="楷体" w:hAnsi="楷体" w:eastAsia="楷体" w:cs="宋体"/>
                <w:kern w:val="0"/>
                <w:sz w:val="20"/>
                <w:szCs w:val="20"/>
              </w:rPr>
              <w:t>属于三类内部事务信息</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spacing w:val="-8"/>
                <w:kern w:val="0"/>
                <w:sz w:val="24"/>
                <w:szCs w:val="24"/>
              </w:rPr>
            </w:pPr>
            <w:r>
              <w:rPr>
                <w:rFonts w:ascii="楷体" w:hAnsi="楷体" w:eastAsia="楷体" w:cs="宋体"/>
                <w:spacing w:val="-8"/>
                <w:kern w:val="0"/>
                <w:sz w:val="20"/>
                <w:szCs w:val="20"/>
              </w:rPr>
              <w:t>6.</w:t>
            </w:r>
            <w:r>
              <w:rPr>
                <w:rFonts w:hint="eastAsia" w:ascii="楷体" w:hAnsi="楷体" w:eastAsia="楷体" w:cs="宋体"/>
                <w:spacing w:val="-8"/>
                <w:kern w:val="0"/>
                <w:sz w:val="20"/>
                <w:szCs w:val="20"/>
              </w:rPr>
              <w:t>属于四类过程性信息</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7.</w:t>
            </w:r>
            <w:r>
              <w:rPr>
                <w:rFonts w:hint="eastAsia" w:ascii="楷体" w:hAnsi="楷体" w:eastAsia="楷体" w:cs="宋体"/>
                <w:kern w:val="0"/>
                <w:sz w:val="20"/>
                <w:szCs w:val="20"/>
              </w:rPr>
              <w:t>属于行政执法案卷</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8.</w:t>
            </w:r>
            <w:r>
              <w:rPr>
                <w:rFonts w:hint="eastAsia" w:ascii="楷体" w:hAnsi="楷体" w:eastAsia="楷体" w:cs="宋体"/>
                <w:kern w:val="0"/>
                <w:sz w:val="20"/>
                <w:szCs w:val="20"/>
              </w:rPr>
              <w:t>属于行政查询事项</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（四）无法提供</w:t>
            </w: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本机关不掌握相关政府信息</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没有现成信息需要另行制作</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continue"/>
            <w:tcBorders>
              <w:top w:val="nil"/>
              <w:left w:val="nil"/>
              <w:bottom w:val="single" w:color="auto" w:sz="4" w:space="0"/>
              <w:right w:val="single" w:color="auto" w:sz="8" w:space="0"/>
            </w:tcBorders>
            <w:vAlign w:val="center"/>
          </w:tcPr>
          <w:p>
            <w:pPr>
              <w:widowControl/>
              <w:spacing w:line="560" w:lineRule="exact"/>
              <w:jc w:val="left"/>
              <w:rPr>
                <w:rFonts w:ascii="宋体" w:cs="宋体"/>
                <w:kern w:val="0"/>
                <w:sz w:val="24"/>
                <w:szCs w:val="24"/>
              </w:rPr>
            </w:pPr>
          </w:p>
        </w:tc>
        <w:tc>
          <w:tcPr>
            <w:tcW w:w="1915"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补正后申请内容仍不明确</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single" w:color="auto" w:sz="4" w:space="0"/>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（五）不予处理</w:t>
            </w:r>
          </w:p>
        </w:tc>
        <w:tc>
          <w:tcPr>
            <w:tcW w:w="1915"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信访举报投诉类申请</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continue"/>
            <w:tcBorders>
              <w:top w:val="single" w:color="auto" w:sz="4"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重复申请</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continue"/>
            <w:tcBorders>
              <w:top w:val="single" w:color="auto" w:sz="4"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要求提供公开出版物</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continue"/>
            <w:tcBorders>
              <w:top w:val="single" w:color="auto" w:sz="4"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4.</w:t>
            </w:r>
            <w:r>
              <w:rPr>
                <w:rFonts w:hint="eastAsia" w:ascii="楷体" w:hAnsi="楷体" w:eastAsia="楷体" w:cs="宋体"/>
                <w:kern w:val="0"/>
                <w:sz w:val="20"/>
                <w:szCs w:val="20"/>
              </w:rPr>
              <w:t>无正当理由大量反复申请</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48" w:type="dxa"/>
            <w:vMerge w:val="continue"/>
            <w:tcBorders>
              <w:top w:val="single" w:color="auto" w:sz="4"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5.</w:t>
            </w:r>
            <w:r>
              <w:rPr>
                <w:rFonts w:hint="eastAsia" w:ascii="楷体" w:hAnsi="楷体" w:eastAsia="楷体" w:cs="宋体"/>
                <w:kern w:val="0"/>
                <w:sz w:val="20"/>
                <w:szCs w:val="20"/>
              </w:rPr>
              <w:t>要求行政机关确认或重新出具已获取信息</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27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（六）其他处理</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27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（七）总计</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Layout w:type="fixed"/>
          <w:tblCellMar>
            <w:top w:w="0" w:type="dxa"/>
            <w:left w:w="0" w:type="dxa"/>
            <w:bottom w:w="0" w:type="dxa"/>
            <w:right w:w="0" w:type="dxa"/>
          </w:tblCellMar>
        </w:tblPrEx>
        <w:trPr>
          <w:jc w:val="center"/>
        </w:trPr>
        <w:tc>
          <w:tcPr>
            <w:tcW w:w="33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四、结转下年度继续办理</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0</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p>
        </w:tc>
      </w:tr>
    </w:tbl>
    <w:p>
      <w:pPr>
        <w:widowControl/>
        <w:shd w:val="clear" w:color="auto" w:fill="FFFFFF"/>
        <w:spacing w:line="560" w:lineRule="exact"/>
        <w:ind w:firstLine="480"/>
        <w:rPr>
          <w:rFonts w:ascii="宋体" w:cs="宋体"/>
          <w:kern w:val="0"/>
          <w:sz w:val="24"/>
          <w:szCs w:val="24"/>
        </w:rPr>
      </w:pPr>
    </w:p>
    <w:p>
      <w:pPr>
        <w:widowControl/>
        <w:shd w:val="clear" w:color="auto" w:fill="FFFFFF"/>
        <w:spacing w:line="560" w:lineRule="exact"/>
        <w:ind w:firstLine="480"/>
        <w:rPr>
          <w:rFonts w:ascii="黑体" w:hAnsi="黑体" w:eastAsia="黑体" w:cs="宋体"/>
          <w:bCs/>
          <w:kern w:val="0"/>
          <w:sz w:val="32"/>
          <w:szCs w:val="32"/>
        </w:rPr>
      </w:pPr>
    </w:p>
    <w:p>
      <w:pPr>
        <w:widowControl/>
        <w:shd w:val="clear" w:color="auto" w:fill="FFFFFF"/>
        <w:spacing w:line="560" w:lineRule="exact"/>
        <w:ind w:firstLine="480"/>
        <w:rPr>
          <w:rFonts w:ascii="黑体" w:hAnsi="黑体" w:eastAsia="黑体" w:cs="宋体"/>
          <w:kern w:val="0"/>
          <w:sz w:val="32"/>
          <w:szCs w:val="32"/>
        </w:rPr>
      </w:pPr>
      <w:r>
        <w:rPr>
          <w:rFonts w:hint="eastAsia" w:ascii="黑体" w:hAnsi="黑体" w:eastAsia="黑体" w:cs="宋体"/>
          <w:bCs/>
          <w:kern w:val="0"/>
          <w:sz w:val="32"/>
          <w:szCs w:val="32"/>
        </w:rPr>
        <w:t>四、政府信息公开行政复议、行政诉讼情况</w:t>
      </w:r>
    </w:p>
    <w:tbl>
      <w:tblPr>
        <w:tblStyle w:val="6"/>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0 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宋体" w:cs="宋体"/>
                <w:kern w:val="0"/>
                <w:sz w:val="24"/>
                <w:szCs w:val="24"/>
              </w:rPr>
              <w:t>0</w:t>
            </w:r>
          </w:p>
        </w:tc>
      </w:tr>
    </w:tbl>
    <w:p>
      <w:pPr>
        <w:widowControl/>
        <w:shd w:val="clear" w:color="auto" w:fill="FFFFFF"/>
        <w:spacing w:line="560" w:lineRule="exact"/>
        <w:jc w:val="center"/>
        <w:rPr>
          <w:rFonts w:ascii="宋体" w:cs="宋体"/>
          <w:kern w:val="0"/>
          <w:sz w:val="24"/>
          <w:szCs w:val="24"/>
        </w:rPr>
      </w:pPr>
    </w:p>
    <w:p>
      <w:pPr>
        <w:numPr>
          <w:ilvl w:val="0"/>
          <w:numId w:val="1"/>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存在</w:t>
      </w:r>
      <w:r>
        <w:rPr>
          <w:rFonts w:hint="eastAsia" w:ascii="黑体" w:hAnsi="黑体" w:eastAsia="黑体" w:cs="黑体"/>
          <w:sz w:val="32"/>
          <w:szCs w:val="32"/>
          <w:lang w:eastAsia="zh-CN"/>
        </w:rPr>
        <w:t>的</w:t>
      </w:r>
      <w:r>
        <w:rPr>
          <w:rFonts w:hint="eastAsia" w:ascii="黑体" w:hAnsi="黑体" w:eastAsia="黑体" w:cs="黑体"/>
          <w:sz w:val="32"/>
          <w:szCs w:val="32"/>
          <w:lang w:val="en-US" w:eastAsia="zh-CN"/>
        </w:rPr>
        <w:t>主要</w:t>
      </w:r>
      <w:r>
        <w:rPr>
          <w:rFonts w:hint="eastAsia" w:ascii="黑体" w:hAnsi="黑体" w:eastAsia="黑体" w:cs="黑体"/>
          <w:sz w:val="32"/>
          <w:szCs w:val="32"/>
        </w:rPr>
        <w:t>问题</w:t>
      </w:r>
      <w:r>
        <w:rPr>
          <w:rFonts w:hint="eastAsia" w:ascii="黑体" w:hAnsi="黑体" w:eastAsia="黑体" w:cs="黑体"/>
          <w:sz w:val="32"/>
          <w:szCs w:val="32"/>
          <w:lang w:val="en-US" w:eastAsia="zh-CN"/>
        </w:rPr>
        <w:t>及改进情况</w:t>
      </w:r>
    </w:p>
    <w:p>
      <w:pPr>
        <w:numPr>
          <w:numId w:val="0"/>
        </w:numPr>
        <w:spacing w:line="56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bookmarkStart w:id="0" w:name="_GoBack"/>
      <w:bookmarkEnd w:id="0"/>
      <w:r>
        <w:rPr>
          <w:rFonts w:hint="eastAsia" w:ascii="仿宋_GB2312" w:hAnsi="仿宋_GB2312" w:eastAsia="仿宋_GB2312" w:cs="仿宋_GB2312"/>
          <w:kern w:val="2"/>
          <w:sz w:val="32"/>
          <w:szCs w:val="32"/>
          <w:lang w:val="en-US" w:eastAsia="zh-CN" w:bidi="ar-SA"/>
        </w:rPr>
        <w:t>2020年，我局政务公开工作稳步有序开展，但与公众需求还存在一些差距，主要是政务信息公开时效性不强，信息公开时间节点把握不准；政务信息公开内容还不全面，质量还有待提高。</w:t>
      </w:r>
    </w:p>
    <w:p>
      <w:pPr>
        <w:spacing w:line="560" w:lineRule="exac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下一步，我局将进一步加强对政务公开工作的组织领导，认真制定切实可行的措施，以求真务实的作风，扎实做好政务公开工作，重点抓好以下工作：一是进一步提高机关干部对做好政务公开工作的认识，加强对政府信息公开相关制度的学习，不断提高政府信息公开工作的质量；二是进一步加强对政务公开工作的领导和监督，层层落实责任，确保把政务公开工作落到实处；三是进一步健全和完善信息公开各项制度。规范和完善政务公开的内容、形式，对涉及公众关心的重大问题、重大决策应该公开的及时公开，提高公开的时效性。</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舟山市定海区经济和信息化局</w:t>
      </w:r>
    </w:p>
    <w:p>
      <w:pPr>
        <w:wordWrap w:val="0"/>
        <w:spacing w:line="560" w:lineRule="exact"/>
        <w:jc w:val="right"/>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w:t>
      </w:r>
    </w:p>
    <w:p>
      <w:pPr>
        <w:spacing w:line="560" w:lineRule="exact"/>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00"/>
    <w:family w:val="decorative"/>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EFF" w:usb1="C000785B" w:usb2="00000009" w:usb3="00000000" w:csb0="400001FF" w:csb1="FFFF0000"/>
  </w:font>
  <w:font w:name="Cambria">
    <w:panose1 w:val="02040503050406030204"/>
    <w:charset w:val="00"/>
    <w:family w:val="moder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w:panose1 w:val="020F0502020204030204"/>
    <w:charset w:val="00"/>
    <w:family w:val="roman"/>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黑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EFF" w:usb1="C000785B" w:usb2="00000009" w:usb3="00000000" w:csb0="400001FF" w:csb1="FFFF0000"/>
  </w:font>
  <w:font w:name="Cambria">
    <w:panose1 w:val="02040503050406030204"/>
    <w:charset w:val="00"/>
    <w:family w:val="swiss"/>
    <w:pitch w:val="default"/>
    <w:sig w:usb0="E00006FF" w:usb1="420024FF" w:usb2="02000000" w:usb3="00000000" w:csb0="2000019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00"/>
    <w:family w:val="modern"/>
    <w:pitch w:val="default"/>
    <w:sig w:usb0="E4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5569711">
    <w:nsid w:val="65A8EDAF"/>
    <w:multiLevelType w:val="singleLevel"/>
    <w:tmpl w:val="65A8EDAF"/>
    <w:lvl w:ilvl="0" w:tentative="1">
      <w:start w:val="5"/>
      <w:numFmt w:val="chineseCounting"/>
      <w:suff w:val="nothing"/>
      <w:lvlText w:val="%1、"/>
      <w:lvlJc w:val="left"/>
    </w:lvl>
  </w:abstractNum>
  <w:num w:numId="1">
    <w:abstractNumId w:val="17055697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727757B"/>
    <w:rsid w:val="000961F1"/>
    <w:rsid w:val="002B6326"/>
    <w:rsid w:val="003A416F"/>
    <w:rsid w:val="003E3FB1"/>
    <w:rsid w:val="00400F92"/>
    <w:rsid w:val="00402174"/>
    <w:rsid w:val="004361B6"/>
    <w:rsid w:val="00486B9C"/>
    <w:rsid w:val="005D4B35"/>
    <w:rsid w:val="00691BEB"/>
    <w:rsid w:val="00753C07"/>
    <w:rsid w:val="00811B4B"/>
    <w:rsid w:val="008644C7"/>
    <w:rsid w:val="008C3A4D"/>
    <w:rsid w:val="00A0722A"/>
    <w:rsid w:val="00A717AB"/>
    <w:rsid w:val="00B558A9"/>
    <w:rsid w:val="00C51B96"/>
    <w:rsid w:val="00D87708"/>
    <w:rsid w:val="00DC1EC4"/>
    <w:rsid w:val="00FF5D4D"/>
    <w:rsid w:val="03192396"/>
    <w:rsid w:val="10EE7243"/>
    <w:rsid w:val="26DD2308"/>
    <w:rsid w:val="293B131D"/>
    <w:rsid w:val="2CC6492E"/>
    <w:rsid w:val="2F5764CB"/>
    <w:rsid w:val="3C29599B"/>
    <w:rsid w:val="429F613D"/>
    <w:rsid w:val="476E08B0"/>
    <w:rsid w:val="5727757B"/>
    <w:rsid w:val="5C337DD2"/>
    <w:rsid w:val="724D181A"/>
    <w:rsid w:val="7D266755"/>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qFormat/>
    <w:uiPriority w:val="99"/>
    <w:pPr>
      <w:ind w:left="100" w:leftChars="2500"/>
    </w:p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脚 Char"/>
    <w:basedOn w:val="5"/>
    <w:link w:val="3"/>
    <w:semiHidden/>
    <w:qFormat/>
    <w:locked/>
    <w:uiPriority w:val="99"/>
    <w:rPr>
      <w:rFonts w:cs="Times New Roman"/>
      <w:sz w:val="18"/>
      <w:szCs w:val="18"/>
    </w:rPr>
  </w:style>
  <w:style w:type="character" w:customStyle="1" w:styleId="8">
    <w:name w:val="日期 Char"/>
    <w:basedOn w:val="5"/>
    <w:link w:val="2"/>
    <w:semiHidden/>
    <w:qFormat/>
    <w:uiPriority w:val="99"/>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523</Words>
  <Characters>2987</Characters>
  <Lines>24</Lines>
  <Paragraphs>7</Paragraphs>
  <TotalTime>0</TotalTime>
  <ScaleCrop>false</ScaleCrop>
  <LinksUpToDate>false</LinksUpToDate>
  <CharactersWithSpaces>3503</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2019-12-30T09:24:00Z</dcterms:created>
  <dc:creator>admin</dc:creator>
  <cp:lastModifiedBy>陈代杰</cp:lastModifiedBy>
  <dcterms:modified xsi:type="dcterms:W3CDTF">2024-01-18T09:03:40Z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